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RuStAG</w:t>
      </w:r>
    </w:p>
    <w:p>
      <w:r>
        <w:rPr>
          <w:color w:val="555555"/>
          <w:sz w:val="18"/>
        </w:rPr>
        <w:t xml:space="preserve">Staatsangehörigkeitsgesetz</w:t>
      </w:r>
    </w:p>
    <w:p>
      <w:r>
        <w:rPr>
          <w:color w:val="555555"/>
          <w:sz w:val="18"/>
        </w:rPr>
        <w:t xml:space="preserve">Außer Kraft: § 22 ist seit 27.06.2024 nicht mehr im RuStAG enthalten. Angezeigt wird die letzte bekannte Fassung, Stand 10.06.2019.</w:t>
      </w:r>
    </w:p>
    <w:p>
      <w:r>
        <w:t xml:space="preserve">Die Entlassung darf nicht erteilt werden</w:t>
      </w:r>
    </w:p>
    <w:p>
      <w:pPr>
        <w:ind w:left="420"/>
      </w:pPr>
      <w:r>
        <w:t xml:space="preserve">1. Beamten, Richtern, Soldaten der Bundeswehr und sonstigen Personen, die in einem öffentlich-rechtlichen Dienst- oder Amtsverhältnis stehen, solange ihr Dienst- oder Amtsverhältnis nicht beendet ist, mit Ausnahme der ehrenamtlich tätigen Personen,</w:t>
      </w:r>
    </w:p>
    <w:p>
      <w:pPr>
        <w:ind w:left="420"/>
      </w:pPr>
      <w:r>
        <w:t xml:space="preserve">2. Wehrpflichtigen, solange nicht das Bundesministerium der Verteidigung oder die von ihm bezeichnete Stelle erklärt hat, daß gegen die Entlassung Bedenken nicht bestehen.</w:t>
      </w:r>
    </w:p>
    <w:p>
      <w:r>
        <w:rPr>
          <w:color w:val="555555"/>
          <w:sz w:val="17"/>
        </w:rPr>
        <w:t xml:space="preserve">Zitiervorschlag: § 22 RuStAG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https://recht.nulegal.eu/gesetze/RuStAG/22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