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RuStAG</w:t>
      </w:r>
    </w:p>
    <w:p>
      <w:r>
        <w:rPr>
          <w:color w:val="555555"/>
          <w:sz w:val="18"/>
        </w:rPr>
        <w:t xml:space="preserve">Staatsangehörigkeitsgesetz</w:t>
      </w:r>
    </w:p>
    <w:p>
      <w:r>
        <w:rPr>
          <w:color w:val="555555"/>
          <w:sz w:val="18"/>
        </w:rPr>
        <w:t xml:space="preserve">Stand: 16.08.2019 (konsolidierte Textfassung, kein amtliches Inkrafttretensdatum)</w:t>
      </w:r>
    </w:p>
    <w:p>
      <w:r>
        <w:t xml:space="preserve">Ein ehemaliger Deutscher und seine minderjährigen Kinder, die ihren gewöhnlichen Aufenthalt im Ausland haben, können auf Antrag eingebürgert werden, wenn ihre Identität und Staatsangehörigkeit geklärt sind und sie die Voraussetzungen des § 8 Absatz 1 Nummer 1 und 2 erfüllen.</w:t>
      </w:r>
    </w:p>
    <w:p>
      <w:r>
        <w:rPr>
          <w:color w:val="555555"/>
          <w:sz w:val="17"/>
        </w:rPr>
        <w:t xml:space="preserve">Zitiervorschlag: § 13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