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12b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Der gewöhnliche Aufenthalt im Inland wird durch Aufenthalte bis zu sechs Monaten im Ausland nicht unterbrochen. Bei längeren Auslandsaufenthalten besteht er fort, wenn der Ausländer innerhalb der von der Ausländerbehörde bestimmten Frist wieder eingereist ist. Gleiches gilt, wenn die Frist lediglich wegen Erfüllung der gesetzlichen Wehrpflicht im Herkunftsstaat überschritten wird und der Ausländer innerhalb von drei Monaten nach der Entlassung aus dem Wehr- oder Ersatzdienst wieder einreist. Anstelle von Satz 1 bis 3 gilt für Staatsangehörige eines anderen Mitgliedstaates der Europäischen Union, für Staatsangehörige der EWR-Staaten, für ihre jeweiligen Familienangehörigen und für die ihnen jeweils nahestehenden Personen mit einem Aufenthaltsrecht nach § 3a des Freizügigkeitsgesetzes/EU sowie für Personen, die ein unionsrechtliches Aufenthaltsrecht nach § 12a des Freizügigkeitsgesetzes/EU besitzen, und Personen mit einem in § 16 des Freizügigkeitsgesetzes/EU bezeichneten Aufenthaltsrecht, § 4a Absatz 6 des Freizügigkeitsgesetzes/EU entsprechend. Der gewöhnliche Aufenthalt im Inland besteht abweichend von den Sätzen 1 bis 4 in der Regel nicht mehr fort, wenn die Auslandsaufenthalte die Hälfte der Aufenthaltsdauer, die im Fall des § 4 Absatz 3 Satz 1 Nummer 1 oder für eine Einbürgerung jeweils erforderlich ist, überschreiten.</w:t>
      </w:r>
    </w:p>
    <w:p>
      <w:r>
        <w:t xml:space="preserve">(2) Hat der Ausländer sich länger als sechs Monate im Ausland aufgehalten und liegt keine der Voraussetzungen des Absatzes 1 Satz 2 bis 4 vor, kann die frühere Aufenthaltszeit im Inland bis zu drei Jahren auf die für die Einbürgerung erforderliche Aufenthaltsdauer angerechnet werden. Dies gilt entsprechend im Fall des Absatzes 1 Satz 5.</w:t>
      </w:r>
    </w:p>
    <w:p>
      <w:r>
        <w:t xml:space="preserve">(3) Unterbrechungen der Rechtmäßigkeit des Aufenthalts bleiben außer Betracht, wenn sie darauf beruhen, dass der Ausländer nicht rechtzeitig die erstmals erforderliche Erteilung oder die Verlängerung des Aufenthaltstitels beantragt hat. Für Unterbrechungen der Rechtmäßigkeit des Aufenthalts aus anderen Gründen gilt Absatz 2 entsprechend.</w:t>
      </w:r>
    </w:p>
    <w:p>
      <w:r>
        <w:rPr>
          <w:color w:val="555555"/>
          <w:sz w:val="17"/>
        </w:rPr>
        <w:t xml:space="preserve">Zitiervorschlag: § 12b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