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RuStAG</w:t>
      </w:r>
    </w:p>
    <w:p>
      <w:r>
        <w:rPr>
          <w:color w:val="555555"/>
          <w:sz w:val="18"/>
        </w:rPr>
        <w:t xml:space="preserve">Staatsangehörigkeitsgesetz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Deutscher im Sinne dieses Gesetzes ist, wer die deutsche Staatsangehörigkeit besitzt.</w:t>
      </w:r>
    </w:p>
    <w:p>
      <w:r>
        <w:rPr>
          <w:color w:val="555555"/>
          <w:sz w:val="17"/>
        </w:rPr>
        <w:t xml:space="preserve">Zitiervorschlag: § 1 RuStAG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https://recht.nulegal.eu/gesetze/RuStAG/1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