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RsprEinhG — Zusammensetzung</w:t>
      </w:r>
    </w:p>
    <w:p>
      <w:r>
        <w:rPr>
          <w:color w:val="555555"/>
          <w:sz w:val="18"/>
        </w:rPr>
        <w:t xml:space="preserve">Gesetz zur Wahrung der Einheitlichkeit der Rechtsprechung der obersten Gerichtshöfe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Gemeinsame Senat besteht aus</w:t>
      </w:r>
    </w:p>
    <w:p>
      <w:pPr>
        <w:ind w:left="420"/>
      </w:pPr>
      <w:r>
        <w:t xml:space="preserve">1. den Präsidenten der obersten Gerichtshöfe,</w:t>
      </w:r>
    </w:p>
    <w:p>
      <w:pPr>
        <w:ind w:left="420"/>
      </w:pPr>
      <w:r>
        <w:t xml:space="preserve">2. den Vorsitzenden Richtern der beteiligten Senate und</w:t>
      </w:r>
    </w:p>
    <w:p>
      <w:pPr>
        <w:ind w:left="420"/>
      </w:pPr>
      <w:r>
        <w:t xml:space="preserve">3. je einem weiteren Richter der beteiligten Senate.</w:t>
      </w:r>
    </w:p>
    <w:p>
      <w:r>
        <w:t xml:space="preserve">(2) Führt der Präsident eines obersten Gerichtshofs den Vorsitz in einem beteiligten Senat, so wirken außer ihm zwei weitere Richter des beteiligten Senats in dem Gemeinsamen Senat mit.</w:t>
      </w:r>
    </w:p>
    <w:p>
      <w:r>
        <w:t xml:space="preserve">(3) Bei Verhinderung des Präsidenten eines obersten Gerichtshofs tritt sein Vertreter im Großen Senat, bei Verhinderung des Vorsitzenden Richters eines beteiligten Senats sein Vertreter im Vorsitz an seine Stelle.</w:t>
      </w:r>
    </w:p>
    <w:p>
      <w:r>
        <w:t xml:space="preserve">(4) Die zu entsendenden Richter (Absatz 1 Nr. 3 und Absatz 2) und ihre Vertreter werden von den Präsidien der obersten Gerichtshöfe für die Dauer von zwei Geschäftsjahren bestimmt.</w:t>
      </w:r>
    </w:p>
    <w:p>
      <w:r>
        <w:rPr>
          <w:color w:val="555555"/>
          <w:sz w:val="17"/>
        </w:rPr>
        <w:t xml:space="preserve">Zitiervorschlag: § 3 RsprEinhG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https://recht.nulegal.eu/gesetze/RsprEinhG/3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