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RsprEinhG — Änderung von Bezeichnungen</w:t>
      </w:r>
    </w:p>
    <w:p>
      <w:r>
        <w:rPr>
          <w:color w:val="555555"/>
          <w:sz w:val="18"/>
        </w:rPr>
        <w:t xml:space="preserve">Gesetz zur Wahrung der Einheitlichkeit der Rechtsprechung der obersten Gerichtshöfe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in anderen Gesetzen und in Verordnungen die Bezeichnung "oberes Bundesgericht" verwendet wird, tritt an ihre Stelle die Bezeichnung "oberster Gerichtshof des Bundes".</w:t>
      </w:r>
    </w:p>
    <w:p>
      <w:r>
        <w:rPr>
          <w:color w:val="555555"/>
          <w:sz w:val="17"/>
        </w:rPr>
        <w:t xml:space="preserve">Zitiervorschlag: § 21 RsprEinhG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https://recht.nulegal.eu/gesetze/RsprEinhG/21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