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RsprEinhG — Kosten</w:t>
      </w:r>
    </w:p>
    <w:p>
      <w:r>
        <w:rPr>
          <w:color w:val="555555"/>
          <w:sz w:val="18"/>
        </w:rPr>
        <w:t xml:space="preserve">Gesetz zur Wahrung der Einheitlichkeit der Rechtsprechung der obersten Gerichtshöfe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Verfahren vor dem Gemeinsamen Senat ist kostenfrei.</w:t>
      </w:r>
    </w:p>
    <w:p>
      <w:r>
        <w:t xml:space="preserve">(2) Außergerichtliche Kosten werden nicht erstattet.</w:t>
      </w:r>
    </w:p>
    <w:p>
      <w:r>
        <w:rPr>
          <w:color w:val="555555"/>
          <w:sz w:val="17"/>
        </w:rPr>
        <w:t xml:space="preserve">Zitiervorschlag: § 17 RsprEinhG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https://recht.nulegal.eu/gesetze/RsprEinhG/17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