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RsprEinhG — Vorlegungsverfahren</w:t>
      </w:r>
    </w:p>
    <w:p>
      <w:r>
        <w:rPr>
          <w:color w:val="555555"/>
          <w:sz w:val="18"/>
        </w:rPr>
        <w:t xml:space="preserve">Gesetz zur Wahrung der Einheitlichkeit der Rechtsprechung der obersten Gerichtshöfe des Bundes</w:t>
      </w:r>
    </w:p>
    <w:p>
      <w:r>
        <w:rPr>
          <w:color w:val="555555"/>
          <w:sz w:val="18"/>
        </w:rPr>
        <w:t xml:space="preserve">Stand: 10.06.2019 (konsolidierte Textfassung, kein amtliches Inkrafttretensdatum)</w:t>
      </w:r>
    </w:p>
    <w:p>
      <w:r>
        <w:t xml:space="preserve">(1) Das Verfahren vor dem Gemeinsamen Senat wird durch einen Vorlegungsbeschluß eingeleitet. In diesem ist die Entscheidung des obersten Gerichtshofs, von der der vorlegende Senat abweichen will, zu bezeichnen. Der Beschluß ist zu begründen und den am Verfahren Beteiligen zuzustellen.</w:t>
      </w:r>
    </w:p>
    <w:p>
      <w:r>
        <w:t xml:space="preserve">(2) Die Senate, die Großen Senate oder die Vereinigten Großen Senate der obersten Gerichtshöfe holen die Entscheidung des Gemeinsamen Senats unmittelbar ein. Gleichzeitig ist das Verfahren vor dem vorlegenden Senat auszusetzen.</w:t>
      </w:r>
    </w:p>
    <w:p>
      <w:r>
        <w:t xml:space="preserve">(3) Eine Vorlage an den Gemeinsamen Senat im Sinne der Absätze 1 und 2 ist nur zulässig, wenn der Senat, von dessen Entscheidung abgewichen werden soll, auf die zu begründende Anfrage des erkennenden Senats erklärt hat, dass er an seiner Rechtsauffassung festhält. § 4 gilt entsprechend.</w:t>
      </w:r>
    </w:p>
    <w:p>
      <w:r>
        <w:rPr>
          <w:color w:val="555555"/>
          <w:sz w:val="17"/>
        </w:rPr>
        <w:t xml:space="preserve">Zitiervorschlag: § 11 RsprEinhG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https://recht.nulegal.eu/gesetze/RsprEinhG/11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