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RsprEinhG — Bildung des Gemeinsamen Senats</w:t>
      </w:r>
    </w:p>
    <w:p>
      <w:r>
        <w:rPr>
          <w:color w:val="555555"/>
          <w:sz w:val="18"/>
        </w:rPr>
        <w:t xml:space="preserve">Gesetz zur Wahrung der Einheitlichkeit der Rechtsprechung der obersten Gerichtshöfe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Wahrung der Einheitlichkeit der Rechtsprechung der in Artikel 95 Abs. 1 des Grundgesetzes genannten obersten Gerichtshöfe des Bundes wird ein Gemeinsamer Senat dieser obersten Gerichtshöfe gebildet.</w:t>
      </w:r>
    </w:p>
    <w:p>
      <w:r>
        <w:t xml:space="preserve">(2) Der Gemeinsame Senat hat seinen Sitz in Karlsruhe.</w:t>
      </w:r>
    </w:p>
    <w:p>
      <w:r>
        <w:rPr>
          <w:color w:val="555555"/>
          <w:sz w:val="17"/>
        </w:rPr>
        <w:t xml:space="preserve">Zitiervorschlag: § 1 RsprEinhG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https://recht.nulegal.eu/gesetze/RsprEinhG/1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