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RpflAO (Nordrhein-Westfalen) — Fachwissenschaftliches Studium (erster, dritter und fünfter Studienabschnitt)</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fachwissenschaftliche Studium soll den Studierenden im Rahmen des Ausbildungsziels gemäß § 2 Absatz 1 auf wissenschaftlicher Grundlage in Lehrveranstaltungen die für den angestrebten Beruf erforderlichen theoretischen Kenntnisse vermitteln, und zwar:</w:t>
      </w:r>
    </w:p>
    <w:p>
      <w:r>
        <w:t xml:space="preserve">1. gründliche Kenntnisse</w:t>
      </w:r>
    </w:p>
    <w:p>
      <w:r>
        <w:t xml:space="preserve">a) im Bürgerlichen Recht,</w:t>
      </w:r>
    </w:p>
    <w:p>
      <w:r>
        <w:t xml:space="preserve">b) auf dem Gebiet der freiwilligen Gerichtsbarkeit, insbesondere im Grundbuch-, Familien-, Nachlass- und Registerrecht,</w:t>
      </w:r>
    </w:p>
    <w:p>
      <w:r>
        <w:t xml:space="preserve">c) im Zivilprozessrecht und im Recht der Zwangsvollstreckung in das bewegliche und unbewegliche Vermögen sowie im Insolvenzrecht,</w:t>
      </w:r>
    </w:p>
    <w:p>
      <w:r>
        <w:t xml:space="preserve">d) im Strafprozessrecht und im Strafvollstreckungsrecht sowie</w:t>
      </w:r>
    </w:p>
    <w:p>
      <w:r>
        <w:t xml:space="preserve">e) im Kostenrecht, insbesondere in den Verfahren der Kostenfestsetzung und</w:t>
      </w:r>
    </w:p>
    <w:p>
      <w:r>
        <w:t xml:space="preserve">2. Kenntnisse der Grundzüge</w:t>
      </w:r>
    </w:p>
    <w:p>
      <w:r>
        <w:t xml:space="preserve">a) des Staats-, Verfassungs- und Europarechts,</w:t>
      </w:r>
    </w:p>
    <w:p>
      <w:r>
        <w:t xml:space="preserve">b) des Gerichtsverfassungsrechts,</w:t>
      </w:r>
    </w:p>
    <w:p>
      <w:r>
        <w:t xml:space="preserve">c) des Handels- und Gesellschaftsrechts und des Rechts der Wertpapiere,</w:t>
      </w:r>
    </w:p>
    <w:p>
      <w:r>
        <w:t xml:space="preserve">d) des allgemeinen Verwaltungsrechts einschließlich des öffentlichen Dienstrechts,</w:t>
      </w:r>
    </w:p>
    <w:p>
      <w:r>
        <w:t xml:space="preserve">e) des Strafrechts,</w:t>
      </w:r>
    </w:p>
    <w:p>
      <w:r>
        <w:t xml:space="preserve">f) des Arbeitsrechts,</w:t>
      </w:r>
    </w:p>
    <w:p>
      <w:r>
        <w:t xml:space="preserve">g) des Internationalen Privatrechts sowie</w:t>
      </w:r>
    </w:p>
    <w:p>
      <w:r>
        <w:t xml:space="preserve">h) der Wirtschafts- und Bilanzkunde.</w:t>
      </w:r>
    </w:p>
    <w:p>
      <w:r>
        <w:t xml:space="preserve">Die auf diesen Rechtsgebieten bestehenden Bezüge der Rechtspflegeraufgaben zu den Aufgaben der übrigen Justizberufe sind angemessen zu verdeutlichen. Die im Rechtspflegeraufgabenfeld anzuwendenden informationstechnischen Programme werden in die Lehrveranstaltungen der jeweils betroffenen Fächer einbezogen. Das fachwissenschaftliche Studium soll ferner das soziale, wirtschaftliche und rechtspolitische Verständnis der Studierenden stärken und ihren allgemeinen Bildungsstand fördern.</w:t>
      </w:r>
    </w:p>
    <w:p>
      <w:r>
        <w:t xml:space="preserve">(2) Die Studienordnung konkretisiert die Inhalte des Studiums und die Form der Lehrveranstaltungen. Den Studierenden muss hinreichend Zeit zur Verarbeitung des Stoffes und zum Selbststudium verbleiben.</w:t>
      </w:r>
    </w:p>
    <w:p>
      <w:r>
        <w:t xml:space="preserve">(3) Für die Lehrveranstaltungen sind insgesamt etwa 2 000 Vorlesungsstunden zu je 45 Minuten vorzusehen. Davon entfallen auf das fachwissenschaftliche Studium I etwa 900 Stunden, auf das Studium II etwa 600 Stunden und auf das Studium III etwa 500 Stunden. Lehrveranstaltungspausen, Feiertage sowie die Zeiten für die Anfertigung von Aufsichtsarbeiten und deren Besprechungen sind auf diese Stundenzahlen nicht anzurechnen.</w:t>
      </w:r>
    </w:p>
    <w:p>
      <w:r>
        <w:t xml:space="preserve">(4) Den Studierenden sollen Wahllehrveranstaltungen angeboten werden, die die Pflichtlehrveranstaltungen gemäß Absatz 3 ergänzen und die in ihnen behandelten Themen vertiefen. Sie können fächerübergreifend ausgestaltet sein und auch solche Rechtsgebiete zum Gegenstand haben, die nicht von den Pflichtlehrveranstaltungen abgedeckt werden, soweit ihre Behandlung der späteren beruflichen Tätigkeit förderlich ist. Auch können sie andere wissenschaftliche Themen betreffen, soweit die Auseinandersetzung mit diesen dem Verständnis sozialer, wirtschaftlicher und rechtspolitischer Zusammenhänge dient und den allgemeinen Bildungsstand der Studierenden fördert.</w:t>
      </w:r>
    </w:p>
    <w:p>
      <w:r>
        <w:t xml:space="preserve">(5) Die Studierenden fertigen nach Maßgabe der Studienordnung unter Aufsicht schriftliche Arbeiten (Aufsichtsarbeiten) an. Die Fachhochschule für Rechtspflege kann festlegen, dass Aufsichtsarbeiten auch elektronisch erbracht werden können oder müssen. Diese können sich auch auf den Umgang mit den im Rechtspflegeraufgabenfeld anzuwendenden informationstechnischen Programmen beziehen. In diesem Fall sind den Studierenden die zur Aufgabenbearbeitung erforderlichen technischen Hilfsmittel zur Verfügung zu stellen. Die Studienordnung kann weitere Nachweise individueller Leistungen vorsehen, insbesondere in Form schriftlicher häuslicher Arbeiten oder der Erarbeitung oder Vertiefung bestimmter fachlicher Themen nebst mündlichem Vortrag (Referate). Arbeiten nach Satz 1 und 2 sind zu begutachten, zu bewerten und in der Regel unter Hinweis auf Vorzüge und Mängel in Form und Inhalt zu besprechen. Die Studienordnung kann vorsehen, dass auch Leistungen nach Satz 4 zu begutachten, zu bewerten und zu besprechen sind. Sie kann ferner andere Studienleistungen als solche nach Satz 1 bis 4 sowie deren Begutachtung und Besprechung vorsehen.</w:t>
      </w:r>
    </w:p>
    <w:p>
      <w:r>
        <w:rPr>
          <w:color w:val="555555"/>
          <w:sz w:val="17"/>
        </w:rPr>
        <w:t xml:space="preserve">Zitiervorschlag: § 9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