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RotkleeSaatV</w:t>
      </w:r>
    </w:p>
    <w:p>
      <w:r>
        <w:rPr>
          <w:color w:val="555555"/>
          <w:sz w:val="18"/>
        </w:rPr>
        <w:t xml:space="preserve">Verordnung über besondere Anforderungen an Saatgut von Rotklee im Rahmen der Saatgutanerkennung 2015</w:t>
      </w:r>
    </w:p>
    <w:p>
      <w:r>
        <w:rPr>
          <w:color w:val="555555"/>
          <w:sz w:val="18"/>
        </w:rPr>
        <w:t xml:space="preserve">Stand: 10.06.2019 (konsolidierte Textfassung, kein amtliches Inkrafttretensdatum)</w:t>
      </w:r>
    </w:p>
    <w:p>
      <w:r>
        <w:t xml:space="preserve">Jede Packung oder jedes Behältnis mit Zertifiziertem Saatgut, dessen Keimfähigkeit in Anwendung des § 1 Absatz 1 unterhalb der in Anlage 3 Nummer 3.1.11 Spalte 3 der Saatgutverordnung vorgeschriebenen Mindestkeimfähigkeit liegt, ist mit einem Zusatzetikett oder einem Begleitpapier zu versehen, in dem auf die verminderte Keimfähigkeit hingewiesen wird. Das Zusatzetikett oder das Begleitpapier ist nicht erforderlich, soweit die Keimfähigkeit in einer dem § 31 Satz 2 der Saatgutverordnung genügenden Weise angegeben wird.</w:t>
      </w:r>
    </w:p>
    <w:p>
      <w:r>
        <w:rPr>
          <w:color w:val="555555"/>
          <w:sz w:val="17"/>
        </w:rPr>
        <w:t xml:space="preserve">Zitiervorschlag: § 2 RotkleeSaatV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https://recht.nulegal.eu/gesetze/RotkleeSaatV/2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