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RotkleeSaatV</w:t>
      </w:r>
    </w:p>
    <w:p>
      <w:r>
        <w:rPr>
          <w:color w:val="555555"/>
          <w:sz w:val="18"/>
        </w:rPr>
        <w:t xml:space="preserve">Verordnung über besondere Anforderungen an Saatgut von Rotklee im Rahmen der Saatgutanerkennung 2015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Abweichend von § 6 Satz 2 in Verbindung mit Anlage 3 Nummer 3.1.11 Spalte 3 der Saatgutverordnung in der Fassung der Bekanntmachung vom 8. Februar 2006 (BGBl. I S. 344), die zuletzt durch Artikel 2 der Verordnung vom 6. Januar 2014 (BGBl. I S. 26) geändert worden ist, beträgt die Mindestkeimfähigkeit für Zertifiziertes Saatgut von Rotklee der Sorten „Milvus“, „Taifun“ und „Titus“ sowie von Sorten mit vergleichbarem landeskulturellen Wert 70 vom Hundert der reinen Körner.</w:t>
      </w:r>
    </w:p>
    <w:p>
      <w:r>
        <w:t xml:space="preserve">(2) Saatgut, das nach den Anforderungen des Absatzes 1 anerkannt worden ist, darf bis zum Ablauf des 30. September 2015 in den Verkehr gebracht werden.</w:t>
      </w:r>
    </w:p>
    <w:p>
      <w:r>
        <w:rPr>
          <w:color w:val="555555"/>
          <w:sz w:val="17"/>
        </w:rPr>
        <w:t xml:space="preserve">Zitiervorschlag: § 1 RotkleeSaatV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https://recht.nulegal.eu/gesetze/RotkleeSaatV/1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