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RotkleeSaatV 2024 — Kennzeichnung</w:t>
      </w:r>
    </w:p>
    <w:p>
      <w:r>
        <w:rPr>
          <w:color w:val="555555"/>
          <w:sz w:val="18"/>
        </w:rPr>
        <w:t xml:space="preserve">Verordnung über besondere Anforderungen an Saatgut von Rotklee im Rahmen der Saatgutanerkennung 2024</w:t>
      </w:r>
    </w:p>
    <w:p>
      <w:r>
        <w:rPr>
          <w:color w:val="555555"/>
          <w:sz w:val="18"/>
        </w:rPr>
        <w:t xml:space="preserve">Historische Fassung: Stand 09.03.2024 bis 01.10.2024.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sind nicht erforderlich, soweit der Hinweis auf die verminderte Keimfähigkeit auf der Packung oder dem Behältnis unverwischbar aufgedruckt ist.</w:t>
      </w:r>
    </w:p>
    <w:p>
      <w:r>
        <w:rPr>
          <w:color w:val="555555"/>
          <w:sz w:val="17"/>
        </w:rPr>
        <w:t xml:space="preserve">Zitiervorschlag: § 2 RotkleeSaatV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https://recht.nulegal.eu/gesetze/RotkleeSaatV%202024/2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RotkleeSaatV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