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Rom II-VO — Arbeitskampfmaßnahmen</w:t>
      </w:r>
    </w:p>
    <w:p>
      <w:r>
        <w:rPr>
          <w:color w:val="555555"/>
          <w:sz w:val="18"/>
        </w:rPr>
        <w:t xml:space="preserve">Rom II-VO</w:t>
      </w:r>
    </w:p>
    <w:p>
      <w:r>
        <w:rPr>
          <w:color w:val="555555"/>
          <w:sz w:val="18"/>
        </w:rPr>
        <w:t xml:space="preserve">Stand: 03.07.2026 (konsolidierte Textfassung, kein amtliches Inkrafttretensdatum)</w:t>
      </w:r>
    </w:p>
    <w:p>
      <w:r>
        <w:t xml:space="preserve">Unbeschadet des Artikels 4 Absatz 2 ist auf außervertragliche Schuldverhältnisse in Bezug auf die Haftung einer Person in ihrer Eigenschaft als Arbeitnehmer oder Arbeitgeber oder der Organisationen, die deren berufliche Interessen vertreten, für Schäden, die aus bevorstehenden oder durchgeführten Arbeitskampfmaßnahmen entstanden sind, das Recht des Staates anzuwenden, in dem die Arbeitskampfmaßnahme erfolgen soll oder erfolgt ist.</w:t>
      </w:r>
    </w:p>
    <w:p>
      <w:r>
        <w:rPr>
          <w:color w:val="555555"/>
          <w:sz w:val="17"/>
        </w:rPr>
        <w:t xml:space="preserve">Zitiervorschlag: Art 9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