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7 Rom II-VO — Umweltschädigung</w:t>
      </w:r>
    </w:p>
    <w:p>
      <w:r>
        <w:rPr>
          <w:color w:val="555555"/>
          <w:sz w:val="18"/>
        </w:rPr>
        <w:t xml:space="preserve">Rom II-VO</w:t>
      </w:r>
    </w:p>
    <w:p>
      <w:r>
        <w:rPr>
          <w:color w:val="555555"/>
          <w:sz w:val="18"/>
        </w:rPr>
        <w:t xml:space="preserve">Stand: 03.07.2026 (konsolidierte Textfassung, kein amtliches Inkrafttretensdatum)</w:t>
      </w:r>
    </w:p>
    <w:p>
      <w:r>
        <w:t xml:space="preserve">Auf außervertragliche Schuldverhältnisse aus einer Umweltschädigung oder einem aus einer solchen Schädigung herrührenden Personen- oder Sachschaden ist das nach Artikel 4 Absatz 1 geltende Recht anzuwenden, es sei denn, der Geschädigte hat sich dazu entschieden, seinen Anspruch auf das Recht des Staates zu stützen, in dem das schadensbegründende Ereignis eingetreten ist.</w:t>
      </w:r>
    </w:p>
    <w:p>
      <w:r>
        <w:rPr>
          <w:color w:val="555555"/>
          <w:sz w:val="17"/>
        </w:rPr>
        <w:t xml:space="preserve">Zitiervorschlag: Art 7 Rom II-VO</w:t>
      </w:r>
    </w:p>
    <w:p>
      <w:r>
        <w:rPr>
          <w:color w:val="555555"/>
          <w:sz w:val="17"/>
        </w:rPr>
        <w:t xml:space="preserve">Quelle: EUR-Lex, abgerufen 03.07.2026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https://recht.nulegal.eu/gesetze/Rom%20II-VO/7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