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 Rom II-VO — Unlauterer Wettbewerb und den freien Wettbewerb einschränkendes Verhalten</w:t>
      </w:r>
    </w:p>
    <w:p>
      <w:r>
        <w:rPr>
          <w:color w:val="555555"/>
          <w:sz w:val="18"/>
        </w:rPr>
        <w:t xml:space="preserve">Rom II-VO</w:t>
      </w:r>
    </w:p>
    <w:p>
      <w:r>
        <w:rPr>
          <w:color w:val="555555"/>
          <w:sz w:val="18"/>
        </w:rPr>
        <w:t xml:space="preserve">Stand: 03.07.2026 (konsolidierte Textfassung, kein amtliches Inkrafttretensdatum)</w:t>
      </w:r>
    </w:p>
    <w:p>
      <w:r>
        <w:t xml:space="preserve">(1) Auf außervertragliche Schuldverhältnisse aus unlauterem Wettbewerbsverhalten ist das Recht des Staates anzuwenden, in dessen Gebiet die Wettbewerbsbeziehungen oder die kollektiven Interessen der Verbraucher beeinträchtigt worden sind oder wahrscheinlich beeinträchtigt werden.</w:t>
      </w:r>
    </w:p>
    <w:p>
      <w:r>
        <w:t xml:space="preserve">(2) Beeinträchtigt ein unlauteres Wettbewerbsverhalten ausschließlich die Interessen eines bestimmten Wettbewerbers, ist Artikel 4 anwendbar.</w:t>
      </w:r>
    </w:p>
    <w:p>
      <w:r>
        <w:t xml:space="preserve">(3)</w:t>
      </w:r>
    </w:p>
    <w:p>
      <w:r>
        <w:t xml:space="preserve">a) Auf außervertragliche Schuldverhältnisse aus einem den Wettbewerb einschränkenden Verhalten ist das Recht des Staates anzuwenden, dessen Markt beeinträchtigt ist oder wahrscheinlich beeinträchtigt wird.</w:t>
      </w:r>
    </w:p>
    <w:p>
      <w:r>
        <w:t xml:space="preserve">b) Wird der Markt in mehr als einem Staat beeinträchtigt oder wahrscheinlich beeinträchtigt, so kann ein Geschädigter, der vor einem Gericht im Mitgliedstaat des Wohnsitzes des Beklagten klagt, seinen Anspruch auf das Recht des Mitgliedstaats des angerufenen Gerichts stützen, sofern der Markt in diesem Mitgliedstaat zu den Märkten gehört, die unmittelbar und wesentlich durch das den Wettbewerb einschränkende Verhalten beeinträchtigt sind, das das außervertragliche Schuldverhältnis begründet, auf welches sich der Anspruch stützt; klagt der Kläger gemäß den geltenden Regeln über die gerichtliche Zuständigkeit vor diesem Gericht gegen mehr als einen Beklagten, so kann er seinen Anspruch nur dann auf das Recht dieses Gerichts stützen, wenn das den Wettbewerb einschränkende Verhalten, auf das sich der Anspruch gegen jeden dieser Beklagten stützt, auch den Markt im Mitgliedstaat dieses Gerichts unmittelbar und wesentlich beeinträchtigt.</w:t>
      </w:r>
    </w:p>
    <w:p>
      <w:r>
        <w:t xml:space="preserve">(4) Von dem nach diesem Artikel anzuwendenden Recht kann nicht durch eine Vereinbarung gemäß Artikel 14 abgewichen werden.</w:t>
      </w:r>
    </w:p>
    <w:p>
      <w:r>
        <w:rPr>
          <w:color w:val="555555"/>
          <w:sz w:val="17"/>
        </w:rPr>
        <w:t xml:space="preserve">Zitiervorschlag: Art 6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