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32 Rom II-VO — Zeitpunkt des Beginns der Anwendung</w:t>
      </w:r>
    </w:p>
    <w:p>
      <w:r>
        <w:rPr>
          <w:color w:val="555555"/>
          <w:sz w:val="18"/>
        </w:rPr>
        <w:t xml:space="preserve">Rom II-VO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Diese Verordnung gilt ab dem 11. Januar 2009, mit Ausnahme des Artikels 29, der ab dem 11. Juli 2008 gilt.</w:t>
      </w:r>
    </w:p>
    <w:p>
      <w:r>
        <w:t xml:space="preserve">Diese Verordnung ist in allen ihren Teilen verbindlich und gilt gemäß dem Vertrag zur Gründung der Europäischen Gemeinschaft unmittelbar in den Mitgliedstaaten.</w:t>
      </w:r>
    </w:p>
    <w:p>
      <w:r>
        <w:rPr>
          <w:color w:val="555555"/>
          <w:sz w:val="17"/>
        </w:rPr>
        <w:t xml:space="preserve">Zitiervorschlag: Art 32 Rom II-VO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https://recht.nulegal.eu/gesetze/Rom%20II-VO/32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