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Rom II-VO — Überprüfungsklausel</w:t>
      </w:r>
    </w:p>
    <w:p>
      <w:r>
        <w:rPr>
          <w:color w:val="555555"/>
          <w:sz w:val="18"/>
        </w:rPr>
        <w:t xml:space="preserve">Rom II-VO</w:t>
      </w:r>
    </w:p>
    <w:p>
      <w:r>
        <w:rPr>
          <w:color w:val="555555"/>
          <w:sz w:val="18"/>
        </w:rPr>
        <w:t xml:space="preserve">Stand: 03.07.2026 (konsolidierte Textfassung, kein amtliches Inkrafttretensdatum)</w:t>
      </w:r>
    </w:p>
    <w:p>
      <w:r>
        <w:t xml:space="preserve">(1) Die Kommission legt dem Europäischen Parlament, dem Rat und dem Europäischen Wirtschafts- und Sozialausschuss bis spätestens 20. August 2011 einen Bericht über die Anwendung dieser Verordnung vor. Diesem Bericht werden gegebenenfalls Vorschläge zur Anpassung der Verordnung beigefügt. Der Bericht umfasst:</w:t>
      </w:r>
    </w:p>
    <w:p>
      <w:r>
        <w:t xml:space="preserve">i) eine Untersuchung über Auswirkungen der Art und Weise, in der mit ausländischem Recht in den verschiedenen Rechtsordnungen umgegangen wird, und darüber, inwieweit die Gerichte in den Mitgliedstaaten ausländisches Recht aufgrund dieser Verordnung in der Praxis anwenden;</w:t>
      </w:r>
    </w:p>
    <w:p>
      <w:r>
        <w:t xml:space="preserve">ii) eine Untersuchung der Auswirkungen von Artikel 28 der vorliegenden Verordnung im Hinblick auf das Haager Übereinkommen vom 4. Mai 1971 über das auf Verkehrsunfälle anzuwendende Recht.</w:t>
      </w:r>
    </w:p>
    <w:p>
      <w:r>
        <w:t xml:space="preserve">(2) Die Kommission legt dem Europäischen Parlament, dem Rat und dem Europäischen Wirtschafts- und Sozialausschuss bis spätestens 31. Dezember 2008 eine Untersuchung zum Bereich des auf außervertragliche Schuldverhältnisse aus der Verletzung der Privatsphäre oder der Persönlichkeitsrechte anzuwendenden Rechts vor, wobei die Regeln über die Pressefreiheit und die Meinungsfreiheit in den Medien sowie die kollisionsrechtlichen Aspekte im Zusammenhang mit der Richtlinie 95/46/EG des Europäischen Parlaments und des Rates vom 24. Oktober 1995 zum Schutz natürlicher Personen bei der Verarbeitung personenbezogener Daten und zum freien Datenverkehr ( 7 ) zu berücksichtigen sind.</w:t>
      </w:r>
    </w:p>
    <w:p>
      <w:r>
        <w:rPr>
          <w:color w:val="555555"/>
          <w:sz w:val="17"/>
        </w:rPr>
        <w:t xml:space="preserve">Zitiervorschlag: Art 30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https://recht.nulegal.eu/gesetze/Rom%20II-VO/30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