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Art 28 Rom II-VO — Verhältnis zu bestehenden internationalen Übereinkommen</w:t>
      </w:r>
    </w:p>
    <w:p>
      <w:r>
        <w:rPr>
          <w:color w:val="555555"/>
          <w:sz w:val="18"/>
        </w:rPr>
        <w:t xml:space="preserve">Rom II-VO</w:t>
      </w:r>
    </w:p>
    <w:p>
      <w:r>
        <w:rPr>
          <w:color w:val="555555"/>
          <w:sz w:val="18"/>
        </w:rPr>
        <w:t xml:space="preserve">Stand: 03.07.2026 (konsolidierte Textfassung, kein amtliches Inkrafttretensdatum)</w:t>
      </w:r>
    </w:p>
    <w:p>
      <w:r>
        <w:t xml:space="preserve">(1) Diese Verordnung berührt nicht die Anwendung der internationalen Übereinkommen, denen ein oder mehrere Mitgliedstaaten zum Zeitpunkt der Annahme dieser Verordnung angehören und die Kollisionsnormen für außervertragliche Schuldverhältnisse enthalten.</w:t>
      </w:r>
    </w:p>
    <w:p>
      <w:r>
        <w:t xml:space="preserve">(2) Diese Verordnung hat jedoch in den Beziehungen zwischen den Mitgliedstaaten Vorrang vor den ausschließlich zwischen zwei oder mehreren Mitgliedstaaten geschlossenen Übereinkommen, soweit diese Bereiche betreffen, die in dieser Verordnung geregelt sind.</w:t>
      </w:r>
    </w:p>
    <w:p>
      <w:r>
        <w:rPr>
          <w:color w:val="555555"/>
          <w:sz w:val="17"/>
        </w:rPr>
        <w:t xml:space="preserve">Zitiervorschlag: Art 28 Rom II-VO</w:t>
      </w:r>
    </w:p>
    <w:p>
      <w:r>
        <w:rPr>
          <w:color w:val="555555"/>
          <w:sz w:val="17"/>
        </w:rPr>
        <w:t xml:space="preserve">Quelle: EUR-Lex, abgerufen 03.07.2026</w:t>
      </w:r>
    </w:p>
    <w:p>
      <w:r>
        <w:rPr>
          <w:color w:val="555555"/>
          <w:sz w:val="17"/>
        </w:rPr>
        <w:t xml:space="preserve">Nicht-amtliche konsolidierte Fassung — verbindlich ist der im Amtsblatt der Europäischen Union veröffentlichte Wortlaut (eur-lex.europa.eu: https://eur-lex.europa.eu)</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https://recht.nulegal.eu/gesetze/Rom%20II-VO/28</w:t>
      </w:r>
    </w:p>
    <w:p>
      <w:r>
        <w:rPr>
          <w:color w:val="767676"/>
          <w:sz w:val="15"/>
        </w:rPr>
        <w:t xml:space="preserve">nu:legal · recht.nulegal.eu · Nicht-amtliche Lesefassung. Amtliche Fassung: eur-lex.europa.eu</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