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27 Rom II-VO — Verhältnis zu anderen Gemeinschaftsrechtsakten</w:t>
      </w:r>
    </w:p>
    <w:p>
      <w:r>
        <w:rPr>
          <w:color w:val="555555"/>
          <w:sz w:val="18"/>
        </w:rPr>
        <w:t xml:space="preserve">Rom II-VO</w:t>
      </w:r>
    </w:p>
    <w:p>
      <w:r>
        <w:rPr>
          <w:color w:val="555555"/>
          <w:sz w:val="18"/>
        </w:rPr>
        <w:t xml:space="preserve">Stand: 03.07.2026 (konsolidierte Textfassung, kein amtliches Inkrafttretensdatum)</w:t>
      </w:r>
    </w:p>
    <w:p>
      <w:r>
        <w:t xml:space="preserve">Diese Verordnung berührt nicht die Anwendung von Vorschriften des Gemeinschaftsrechts, die für besondere Gegenstände Kollisionsnormen für außervertragliche Schuldverhältnisse enthalten.</w:t>
      </w:r>
    </w:p>
    <w:p>
      <w:r>
        <w:rPr>
          <w:color w:val="555555"/>
          <w:sz w:val="17"/>
        </w:rPr>
        <w:t xml:space="preserve">Zitiervorschlag: Art 27 Rom II-VO</w:t>
      </w:r>
    </w:p>
    <w:p>
      <w:r>
        <w:rPr>
          <w:color w:val="555555"/>
          <w:sz w:val="17"/>
        </w:rPr>
        <w:t xml:space="preserve">Quelle: EUR-Lex, abgerufen 03.07.2026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https://recht.nulegal.eu/gesetze/Rom%20II-VO/27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