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26 Rom II-VO — Öffentliche Ordnung im Staat des angerufenen Gerichts</w:t>
      </w:r>
    </w:p>
    <w:p>
      <w:r>
        <w:rPr>
          <w:color w:val="555555"/>
          <w:sz w:val="18"/>
        </w:rPr>
        <w:t xml:space="preserve">Rom II-VO</w:t>
      </w:r>
    </w:p>
    <w:p>
      <w:r>
        <w:rPr>
          <w:color w:val="555555"/>
          <w:sz w:val="18"/>
        </w:rPr>
        <w:t xml:space="preserve">Stand: 03.07.2026 (konsolidierte Textfassung, kein amtliches Inkrafttretensdatum)</w:t>
      </w:r>
    </w:p>
    <w:p>
      <w:r>
        <w:t xml:space="preserve">Die Anwendung einer Vorschrift des nach dieser Verordnung bezeichneten Rechts kann nur versagt werden, wenn ihre Anwendung mit der öffentlichen Ordnung („ordre public“) des Staates des angerufenen Gerichts offensichtlich unvereinbar ist.</w:t>
      </w:r>
    </w:p>
    <w:p>
      <w:r>
        <w:rPr>
          <w:color w:val="555555"/>
          <w:sz w:val="17"/>
        </w:rPr>
        <w:t xml:space="preserve">Zitiervorschlag: Art 26 Rom II-VO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https://recht.nulegal.eu/gesetze/Rom%20II-VO/26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