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24 Rom II-VO — Ausschluss der Rück- und Weiterverweisung</w:t>
      </w:r>
    </w:p>
    <w:p>
      <w:r>
        <w:rPr>
          <w:color w:val="555555"/>
          <w:sz w:val="18"/>
        </w:rPr>
        <w:t xml:space="preserve">Rom II-VO</w:t>
      </w:r>
    </w:p>
    <w:p>
      <w:r>
        <w:rPr>
          <w:color w:val="555555"/>
          <w:sz w:val="18"/>
        </w:rPr>
        <w:t xml:space="preserve">Stand: 03.07.2026 (konsolidierte Textfassung, kein amtliches Inkrafttretensdatum)</w:t>
      </w:r>
    </w:p>
    <w:p>
      <w:r>
        <w:t xml:space="preserve">Unter dem nach dieser Verordnung anzuwendenden Recht eines Staates sind die in diesem Staat geltenden Rechtsnormen unter Ausschluss derjenigen des Internationalen Privatrechts zu verstehen.</w:t>
      </w:r>
    </w:p>
    <w:p>
      <w:r>
        <w:rPr>
          <w:color w:val="555555"/>
          <w:sz w:val="17"/>
        </w:rPr>
        <w:t xml:space="preserve">Zitiervorschlag: Art 24 Rom II-VO</w:t>
      </w:r>
    </w:p>
    <w:p>
      <w:r>
        <w:rPr>
          <w:color w:val="555555"/>
          <w:sz w:val="17"/>
        </w:rPr>
        <w:t xml:space="preserve">Quelle: EUR-Lex, abgerufen 03.07.2026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https://recht.nulegal.eu/gesetze/Rom%20II-VO/24</w:t>
      </w:r>
    </w:p>
    <w:p>
      <w:r>
        <w:rPr>
          <w:color w:val="767676"/>
          <w:sz w:val="15"/>
        </w:rPr>
        <w:t xml:space="preserve">nu:legal · recht.nulegal.eu · Nicht-amtliche Lesefassung. Amtliche Fassung: eur-lex.europa.eu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