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23 Rom II-VO — Gewöhnlicher Aufenthalt</w:t>
      </w:r>
    </w:p>
    <w:p>
      <w:r>
        <w:rPr>
          <w:color w:val="555555"/>
          <w:sz w:val="18"/>
        </w:rPr>
        <w:t xml:space="preserve">Rom II-VO</w:t>
      </w:r>
    </w:p>
    <w:p>
      <w:r>
        <w:rPr>
          <w:color w:val="555555"/>
          <w:sz w:val="18"/>
        </w:rPr>
        <w:t xml:space="preserve">Stand: 03.07.2026 (konsolidierte Textfassung, kein amtliches Inkrafttretensdatum)</w:t>
      </w:r>
    </w:p>
    <w:p>
      <w:r>
        <w:t xml:space="preserve">(1) Für die Zwecke dieser Verordnung ist der Ort des gewöhnlichen Aufenthalts von Gesellschaften, Vereinen und juristischen Personen der Ort ihrer Hauptverwaltung.</w:t>
      </w:r>
    </w:p>
    <w:p>
      <w:r>
        <w:t xml:space="preserve">Wenn jedoch das schadensbegründende Ereignis oder der Schaden aus dem Betrieb einer Zweigniederlassung, einer Agentur oder einer sonstigen Niederlassung herrührt, steht dem Ort des gewöhnlichen Aufenthalts der Ort gleich, an dem sich diese Zweigniederlassung, Agentur oder sonstige Niederlassung befindet.</w:t>
      </w:r>
    </w:p>
    <w:p>
      <w:r>
        <w:t xml:space="preserve">(2) Im Sinne dieser Verordnung ist der gewöhnliche Aufenthalt einer natürlichen Person, die im Rahmen der Ausübung ihrer beruflichen Tätigkeit handelt, der Ort ihrer Hauptniederlassung.</w:t>
      </w:r>
    </w:p>
    <w:p>
      <w:r>
        <w:rPr>
          <w:color w:val="555555"/>
          <w:sz w:val="17"/>
        </w:rPr>
        <w:t xml:space="preserve">Zitiervorschlag: Art 23 Rom II-VO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https://recht.nulegal.eu/gesetze/Rom%20II-VO/23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