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Rom II-VO — Beweis</w:t>
      </w:r>
    </w:p>
    <w:p>
      <w:r>
        <w:rPr>
          <w:color w:val="555555"/>
          <w:sz w:val="18"/>
        </w:rPr>
        <w:t xml:space="preserve">Rom II-VO</w:t>
      </w:r>
    </w:p>
    <w:p>
      <w:r>
        <w:rPr>
          <w:color w:val="555555"/>
          <w:sz w:val="18"/>
        </w:rPr>
        <w:t xml:space="preserve">Stand: 03.07.2026 (konsolidierte Textfassung, kein amtliches Inkrafttretensdatum)</w:t>
      </w:r>
    </w:p>
    <w:p>
      <w:r>
        <w:t xml:space="preserve">(1) Das nach dieser Verordnung für das außervertragliche Schuldverhältnis maßgebende Recht ist insoweit anzuwenden, als es für außervertragliche Schuldverhältnisse gesetzliche Vermutungen aufstellt oder die Beweislast verteilt.</w:t>
      </w:r>
    </w:p>
    <w:p>
      <w:r>
        <w:t xml:space="preserve">(2) Zum Beweis einer Rechtshandlung sind alle Beweisarten des Rechts des angerufenen Gerichts oder eines der in Artikel 21 bezeichneten Rechte, nach denen die Rechtshandlung formgültig ist, zulässig, sofern der Beweis in dieser Art vor dem angerufenen Gericht erbracht werden kann.</w:t>
      </w:r>
    </w:p>
    <w:p>
      <w:r>
        <w:rPr>
          <w:color w:val="555555"/>
          <w:sz w:val="17"/>
        </w:rPr>
        <w:t xml:space="preserve">Zitiervorschlag: Art 22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https://recht.nulegal.eu/gesetze/Rom%20II-VO/22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