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Rom II-VO — Außervertragliche Schuldverhältnisse</w:t>
      </w:r>
    </w:p>
    <w:p>
      <w:r>
        <w:rPr>
          <w:color w:val="555555"/>
          <w:sz w:val="18"/>
        </w:rPr>
        <w:t xml:space="preserve">Rom II-VO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(1) Im Sinne dieser Verordnung umfasst der Begriff des Schadens sämtliche Folgen einer unerlaubten Handlung, einer ungerechtfertigten Bereicherung, einer Geschäftsführung ohne Auftrag („Negotiorum gestio“) oder eines Verschuldens bei Vertragsverhandlungen („Culpa in contrahendo“).</w:t>
      </w:r>
    </w:p>
    <w:p>
      <w:r>
        <w:t xml:space="preserve">(2) Diese Verordnung gilt auch für außervertragliche Schuldverhältnisse, deren Entstehen wahrscheinlich ist.</w:t>
      </w:r>
    </w:p>
    <w:p>
      <w:r>
        <w:t xml:space="preserve">(3) Sämtliche Bezugnahmen in dieser Verordnung auf</w:t>
      </w:r>
    </w:p>
    <w:p>
      <w:r>
        <w:t xml:space="preserve">a) ein schadensbegründendes Ereignis gelten auch für schadensbegründende Ereignisse, deren Eintritt wahrscheinlich ist, und</w:t>
      </w:r>
    </w:p>
    <w:p>
      <w:r>
        <w:t xml:space="preserve">b) einen Schaden gelten auch für Schäden, deren Eintritt wahrscheinlich ist.</w:t>
      </w:r>
    </w:p>
    <w:p>
      <w:r>
        <w:rPr>
          <w:color w:val="555555"/>
          <w:sz w:val="17"/>
        </w:rPr>
        <w:t xml:space="preserve">Zitiervorschlag: Art 2 Rom II-VO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https://recht.nulegal.eu/gesetze/Rom%20II-VO/2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