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18 Rom II-VO — Direktklage gegen den Versicherer des Haftenden</w:t>
      </w:r>
    </w:p>
    <w:p>
      <w:r>
        <w:rPr>
          <w:color w:val="555555"/>
          <w:sz w:val="18"/>
        </w:rPr>
        <w:t xml:space="preserve">Rom II-VO</w:t>
      </w:r>
    </w:p>
    <w:p>
      <w:r>
        <w:rPr>
          <w:color w:val="555555"/>
          <w:sz w:val="18"/>
        </w:rPr>
        <w:t xml:space="preserve">Stand: 03.07.2026 (konsolidierte Textfassung, kein amtliches Inkrafttretensdatum)</w:t>
      </w:r>
    </w:p>
    <w:p>
      <w:r>
        <w:t xml:space="preserve">Der Geschädigte kann seinen Anspruch direkt gegen den Versicherer des Haftenden geltend machen, wenn dies nach dem auf das außervertragliche Schuldverhältnis oder nach dem auf den Versicherungsvertrag anzuwendenden Recht vorgesehen ist.</w:t>
      </w:r>
    </w:p>
    <w:p>
      <w:r>
        <w:rPr>
          <w:color w:val="555555"/>
          <w:sz w:val="17"/>
        </w:rPr>
        <w:t xml:space="preserve">Zitiervorschlag: Art 18 Rom II-VO</w:t>
      </w:r>
    </w:p>
    <w:p>
      <w:r>
        <w:rPr>
          <w:color w:val="555555"/>
          <w:sz w:val="17"/>
        </w:rPr>
        <w:t xml:space="preserve">Quelle: EUR-Lex, abgerufen 03.07.2026</w:t>
      </w:r>
    </w:p>
    <w:p>
      <w:r>
        <w:rPr>
          <w:color w:val="555555"/>
          <w:sz w:val="17"/>
        </w:rPr>
        <w:t xml:space="preserve">Nicht-amtliche konsolidierte Fassung — verbindlich ist der im Amtsblatt der Europäischen Union veröffentlichte Wortlaut (eur-lex.europa.eu: https://eur-lex.europa.eu)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https://recht.nulegal.eu/gesetze/Rom%20II-VO/18</w:t>
      </w:r>
    </w:p>
    <w:p>
      <w:r>
        <w:rPr>
          <w:color w:val="767676"/>
          <w:sz w:val="15"/>
        </w:rPr>
        <w:t xml:space="preserve">nu:legal · recht.nulegal.eu · Nicht-amtliche Lesefassung. Amtliche Fassung: eur-lex.europa.eu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