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16 Rom II-VO — Eingriffsnormen</w:t>
      </w:r>
    </w:p>
    <w:p>
      <w:r>
        <w:rPr>
          <w:color w:val="555555"/>
          <w:sz w:val="18"/>
        </w:rPr>
        <w:t xml:space="preserve">Rom II-VO</w:t>
      </w:r>
    </w:p>
    <w:p>
      <w:r>
        <w:rPr>
          <w:color w:val="555555"/>
          <w:sz w:val="18"/>
        </w:rPr>
        <w:t xml:space="preserve">Stand: 03.07.2026 (konsolidierte Textfassung, kein amtliches Inkrafttretensdatum)</w:t>
      </w:r>
    </w:p>
    <w:p>
      <w:r>
        <w:t xml:space="preserve">Diese Verordnung berührt nicht die Anwendung der nach dem Recht des Staates des angerufenen Gerichts geltenden Vorschriften, die ohne Rücksicht auf das für das außervertragliche Schuldverhältnis maßgebende Recht den Sachverhalt zwingend regeln.</w:t>
      </w:r>
    </w:p>
    <w:p>
      <w:r>
        <w:rPr>
          <w:color w:val="555555"/>
          <w:sz w:val="17"/>
        </w:rPr>
        <w:t xml:space="preserve">Zitiervorschlag: Art 16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