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15 Rom II-VO — Geltungsbereich des anzuwendenden Rechts</w:t>
      </w:r>
    </w:p>
    <w:p>
      <w:r>
        <w:rPr>
          <w:color w:val="555555"/>
          <w:sz w:val="18"/>
        </w:rPr>
        <w:t xml:space="preserve">Rom II-VO</w:t>
      </w:r>
    </w:p>
    <w:p>
      <w:r>
        <w:rPr>
          <w:color w:val="555555"/>
          <w:sz w:val="18"/>
        </w:rPr>
        <w:t xml:space="preserve">Stand: 03.07.2026 (konsolidierte Textfassung, kein amtliches Inkrafttretensdatum)</w:t>
      </w:r>
    </w:p>
    <w:p>
      <w:r>
        <w:t xml:space="preserve">Das nach dieser Verordnung auf außervertragliche Schuldverhältnisse anzuwendende Recht ist insbesondere maßgebend für</w:t>
      </w:r>
    </w:p>
    <w:p>
      <w:r>
        <w:t xml:space="preserve">a) den Grund und den Umfang der Haftung einschließlich der Bestimmung der Personen, die für ihre Handlungen haftbar gemacht werden können;</w:t>
      </w:r>
    </w:p>
    <w:p>
      <w:r>
        <w:t xml:space="preserve">b) die Haftungsausschlussgründe sowie jede Beschränkung oder Teilung der Haftung;</w:t>
      </w:r>
    </w:p>
    <w:p>
      <w:r>
        <w:t xml:space="preserve">c) das Vorliegen, die Art und die Bemessung des Schadens oder der geforderten Wiedergutmachung;</w:t>
      </w:r>
    </w:p>
    <w:p>
      <w:r>
        <w:t xml:space="preserve">d) die Maßnahmen, die ein Gericht innerhalb der Grenzen seiner verfahrensrechtlichen Befugnisse zur Vorbeugung, zur Beendigung oder zum Ersatz des Schadens anordnen kann;</w:t>
      </w:r>
    </w:p>
    <w:p>
      <w:r>
        <w:t xml:space="preserve">e) die Übertragbarkeit, einschließlich der Vererbbarkeit, des Anspruchs auf Schadenersatz oder Wiedergutmachung;</w:t>
      </w:r>
    </w:p>
    <w:p>
      <w:r>
        <w:t xml:space="preserve">f) die Personen, die Anspruch auf Ersatz eines persönlich erlittenen Schadens haben;</w:t>
      </w:r>
    </w:p>
    <w:p>
      <w:r>
        <w:t xml:space="preserve">g) die Haftung für die von einem anderen begangenen Handlungen;</w:t>
      </w:r>
    </w:p>
    <w:p>
      <w:r>
        <w:t xml:space="preserve">h) die Bedingungen für das Erlöschen von Verpflichtungen und die Vorschriften über die Verjährung und die Rechtsverluste, einschließlich der Vorschriften über den Beginn, die Unterbrechung und die Hemmung der Verjährungsfristen und der Fristen für den Rechtsverlust.</w:t>
      </w:r>
    </w:p>
    <w:p>
      <w:r>
        <w:rPr>
          <w:color w:val="555555"/>
          <w:sz w:val="17"/>
        </w:rPr>
        <w:t xml:space="preserve">Zitiervorschlag: Art 15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eur-lex.europa.eu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15 Rom II-VO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