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11 Rom II-VO — Geschäftsführung ohne Auftrag</w:t>
      </w:r>
    </w:p>
    <w:p>
      <w:r>
        <w:rPr>
          <w:color w:val="555555"/>
          <w:sz w:val="18"/>
        </w:rPr>
        <w:t xml:space="preserve">Rom II-VO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(1) Knüpft ein außervertragliches Schuldverhältnis aus Geschäftsführung ohne Auftrag an ein zwischen den Parteien bestehendes Rechtsverhältnis — wie einen Vertrag oder eine unerlaubte Handlung — an, das eine enge Verbindung mit dieser Geschäftsführung ohne Auftrag aufweist, so ist das Recht anzuwenden, dem dieses Rechtsverhältnis unterliegt.</w:t>
      </w:r>
    </w:p>
    <w:p>
      <w:r>
        <w:t xml:space="preserve">(2) Kann das anzuwendende Recht nicht nach Absatz 1 bestimmt werden und haben die Parteien zum Zeitpunkt des Eintritts des schadensbegründenden Ereignisses ihren gewöhnlichen Aufenthalt in demselben Staat, so ist das Recht dieses Staates anzuwenden.</w:t>
      </w:r>
    </w:p>
    <w:p>
      <w:r>
        <w:t xml:space="preserve">(3) Kann das anzuwendende Recht nicht nach den Absätzen 1 oder 2 bestimmt werden, so ist das Recht des Staates anzuwenden, in dem die Geschäftsführung erfolgt ist.</w:t>
      </w:r>
    </w:p>
    <w:p>
      <w:r>
        <w:t xml:space="preserve">(4) Ergibt sich aus der Gesamtheit der Umstände, dass das außervertragliche Schuldverhältnis aus Geschäftsführung ohne Auftrag eine offensichtlich engere Verbindung mit einem anderen als dem in den Absätzen 1, 2 und 3 bezeichneten Staat aufweist, so ist das Recht dieses anderen Staates anzuwenden.</w:t>
      </w:r>
    </w:p>
    <w:p>
      <w:r>
        <w:rPr>
          <w:color w:val="555555"/>
          <w:sz w:val="17"/>
        </w:rPr>
        <w:t xml:space="preserve">Zitiervorschlag: Art 11 Rom II-VO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https://recht.nulegal.eu/gesetze/Rom%20II-VO/11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