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 Rom I-VO — Eingriffsnormen</w:t>
      </w:r>
    </w:p>
    <w:p>
      <w:r>
        <w:rPr>
          <w:color w:val="555555"/>
          <w:sz w:val="18"/>
        </w:rPr>
        <w:t xml:space="preserve">Rom I-VO</w:t>
      </w:r>
    </w:p>
    <w:p>
      <w:r>
        <w:rPr>
          <w:color w:val="555555"/>
          <w:sz w:val="18"/>
        </w:rPr>
        <w:t xml:space="preserve">Stand: 03.07.2026 (konsolidierte Textfassung, kein amtliches Inkrafttretensdatum)</w:t>
      </w:r>
    </w:p>
    <w:p>
      <w:r>
        <w:t xml:space="preserve">(1) Eine Eingriffsnorm ist eine zwingende Vorschrift, deren Einhaltung von einem Staat als so entscheidend für die Wahrung seines öffentlichen Interesses, insbesondere seiner politischen, sozialen oder wirtschaftlichen Organisation, angesehen wird, dass sie ungeachtet des nach Maßgabe dieser Verordnung auf den Vertrag anzuwendenden Rechts auf alle Sachverhalte anzuwenden ist, die in ihren Anwendungsbereich fallen.</w:t>
      </w:r>
    </w:p>
    <w:p>
      <w:r>
        <w:t xml:space="preserve">(2) Diese Verordnung berührt nicht die Anwendung der Eingriffsnormen des Rechts des angerufenen Gerichts.</w:t>
      </w:r>
    </w:p>
    <w:p>
      <w:r>
        <w:t xml:space="preserve">(3) Den Eingriffsnormen des Staates, in dem die durch den Vertrag begründeten Verpflichtungen erfüllt werden sollen oder erfüllt worden sind, kann Wirkung verliehen werden, soweit diese Eingriffsnormen die Erfüllung des Vertrags unrechtmäßig werden lassen. Bei der Entscheidung, ob diesen Eingriffsnormen Wirkung zu verleihen ist, werden Art und Zweck dieser Normen sowie die Folgen berücksichtigt, die sich aus ihrer Anwendung oder Nichtanwendung ergeben würden.</w:t>
      </w:r>
    </w:p>
    <w:p>
      <w:r>
        <w:rPr>
          <w:color w:val="555555"/>
          <w:sz w:val="17"/>
        </w:rPr>
        <w:t xml:space="preserve">Zitiervorschlag: Art 9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