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 Rom I-VO — Verbraucherverträge</w:t>
      </w:r>
    </w:p>
    <w:p>
      <w:r>
        <w:rPr>
          <w:color w:val="555555"/>
          <w:sz w:val="18"/>
        </w:rPr>
        <w:t xml:space="preserve">Rom I-VO</w:t>
      </w:r>
    </w:p>
    <w:p>
      <w:r>
        <w:rPr>
          <w:color w:val="555555"/>
          <w:sz w:val="18"/>
        </w:rPr>
        <w:t xml:space="preserve">Stand: 03.07.2026 (konsolidierte Textfassung, kein amtliches Inkrafttretensdatum)</w:t>
      </w:r>
    </w:p>
    <w:p>
      <w:r>
        <w:t xml:space="preserve">(1) Unbeschadet der Artikel 5 und 7 unterliegt ein Vertrag, den eine natürliche Person zu einem Zweck, der nicht ihrer beruflichen oder gewerblichen Tätigkeit zugerechnet werden kann („Verbraucher“), mit einer anderen Person geschlossen hat, die in Ausübung ihrer beruflichen oder gewerblichen Tätigkeit handelt („Unternehmer“), dem Recht des Staates, in dem der Verbraucher seinen gewöhnlichen Aufenthalt hat, sofern der Unternehmer</w:t>
      </w:r>
    </w:p>
    <w:p>
      <w:r>
        <w:t xml:space="preserve">a) seine berufliche oder gewerbliche Tätigkeit in dem Staat ausübt, in dem der Verbraucher seinen gewöhnlichen Aufenthalt hat, oder</w:t>
      </w:r>
    </w:p>
    <w:p>
      <w:r>
        <w:t xml:space="preserve">b) eine solche Tätigkeit auf irgend einer Weise auf diesen Staat oder auf mehrere Staaten, einschließlich dieses Staates, ausrichtet</w:t>
      </w:r>
    </w:p>
    <w:p>
      <w:r>
        <w:t xml:space="preserve">und der Vertrag in den Bereich dieser Tätigkeit fällt.</w:t>
      </w:r>
    </w:p>
    <w:p>
      <w:r>
        <w:t xml:space="preserve">(2) Ungeachtet des Absatzes 1 können die Parteien das auf einen Vertrag, der die Anforderungen des Absatzes 1 erfüllt, anzuwendende Recht nach Artikel 3 wählen. Die Rechtswahl darf jedoch nicht dazu führen, dass dem Verbraucher der Schutz entzogen wird, der ihm durch diejenigen Bestimmungen gewährt wird, von denen nach dem Recht, das nach Absatz 1 mangels einer Rechtswahl anzuwenden wäre, nicht durch Vereinbarung abgewichen werden darf.</w:t>
      </w:r>
    </w:p>
    <w:p>
      <w:r>
        <w:t xml:space="preserve">(3) Sind die Anforderungen des Absatzes 1 Buchstabe a oder b nicht erfüllt, so gelten für die Bestimmung des auf einen Vertrag zwischen einem Verbraucher und einem Unternehmer anzuwendenden Rechts die Artikel 3 und 4.</w:t>
      </w:r>
    </w:p>
    <w:p>
      <w:r>
        <w:t xml:space="preserve">(4) Die Absätze 1 und 2 gelten nicht für:</w:t>
      </w:r>
    </w:p>
    <w:p>
      <w:r>
        <w:t xml:space="preserve">a) Verträge über die Erbringung von Dienstleistungen, wenn die dem Verbraucher geschuldeten Dienstleistungen ausschließlich in einem anderen als dem Staat erbracht werden müssen, in dem der Verbraucher seinen gewöhnlichen Aufenthalt hat;</w:t>
      </w:r>
    </w:p>
    <w:p>
      <w:r>
        <w:t xml:space="preserve">b) Beförderungsverträge mit Ausnahme von Pauschalreiseverträgen im Sinne der Richtlinie 90/314/EWG des Rates vom 13. Juni 1990 über Pauschalreisen ( 15 );</w:t>
      </w:r>
    </w:p>
    <w:p>
      <w:r>
        <w:t xml:space="preserve">c) Verträge, die ein dingliches Recht an unbeweglichen Sachen oder die Miete oder Pacht unbeweglicher Sachen zum Gegenstand haben, mit Ausnahme der Verträge über Teilzeitnutzungsrechte an Immobilien im Sinne der Richtlinie 94/47/EG;</w:t>
      </w:r>
    </w:p>
    <w:p>
      <w:r>
        <w:t xml:space="preserve">d) Rechte und Pflichten im Zusammenhang mit einem Finanzinstrument sowie Rechte und Pflichten, durch die die Bedingungen für die Ausgabe oder das öffentliche Angebot und öffentliche Übernahmeangebote bezüglich übertragbarer Wertpapiere und die Zeichnung oder den Rückkauf von Anteilen an Organismen für gemeinsame Anlagen in Wertpapieren festgelegt werden, sofern es sich dabei nicht um die Erbringung von Finanzdienstleistungen handelt;</w:t>
      </w:r>
    </w:p>
    <w:p>
      <w:r>
        <w:t xml:space="preserve">e) Verträge, die innerhalb der Art von Systemen geschlossen werden, auf die Artikel 4 Absatz 1 Buchstabe h Anwendung findet.</w:t>
      </w:r>
    </w:p>
    <w:p>
      <w:r>
        <w:rPr>
          <w:color w:val="555555"/>
          <w:sz w:val="17"/>
        </w:rPr>
        <w:t xml:space="preserve">Zitiervorschlag: Art 6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eur-lex.europa.eu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 Rom I-VO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