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29 Rom I-VO — Inkrafttreten und Anwendbarkeit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tritt am zwanzigsten Tag nach ihrer Veröffentlichung im Amtsblatt der Europäischen Union in Kraft.</w:t>
      </w:r>
    </w:p>
    <w:p>
      <w:r>
        <w:t xml:space="preserve">Sie gilt ab 17. Dezember 2009, mit Ausnahme des Artikels 26, der ab dem 17. Juni 2009 gilt.</w:t>
      </w:r>
    </w:p>
    <w:p>
      <w:r>
        <w:t xml:space="preserve">Diese Verordnung ist in allen ihren Teilen verbindlich und gilt gemäß dem Vertrag zur Gründung der Europäischen Gemeinschaft unmittelbar in den Mitgliedstaaten.</w:t>
      </w:r>
    </w:p>
    <w:p>
      <w:r>
        <w:rPr>
          <w:color w:val="555555"/>
          <w:sz w:val="17"/>
        </w:rPr>
        <w:t xml:space="preserve">Zitiervorschlag: Art 29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eur-lex.europa.eu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29 Rom I-VO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