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Rom I-VO — Beziehung zum Übereinkommen von Rom</w:t>
      </w:r>
    </w:p>
    <w:p>
      <w:r>
        <w:rPr>
          <w:color w:val="555555"/>
          <w:sz w:val="18"/>
        </w:rPr>
        <w:t xml:space="preserve">Rom I-VO</w:t>
      </w:r>
    </w:p>
    <w:p>
      <w:r>
        <w:rPr>
          <w:color w:val="555555"/>
          <w:sz w:val="18"/>
        </w:rPr>
        <w:t xml:space="preserve">Stand: 03.07.2026 (konsolidierte Textfassung, kein amtliches Inkrafttretensdatum)</w:t>
      </w:r>
    </w:p>
    <w:p>
      <w:r>
        <w:t xml:space="preserve">(1) Diese Verordnung tritt in den Mitgliedstaaten an die Stelle des Übereinkommens von Rom, außer hinsichtlich der Hoheitsgebiete der Mitgliedstaaten, die in den territorialen Anwendungsbereich dieses Übereinkommens fallen und für die aufgrund der Anwendung von Artikel 299 des Vertrags diese Verordnung nicht gilt.</w:t>
      </w:r>
    </w:p>
    <w:p>
      <w:r>
        <w:t xml:space="preserve">(2) Soweit diese Verordnung die Bestimmungen des Übereinkommens von Rom ersetzt, gelten Bezugnahmen auf dieses Übereinkommen als Bezugnahmen auf diese Verordnung.</w:t>
      </w:r>
    </w:p>
    <w:p>
      <w:r>
        <w:rPr>
          <w:color w:val="555555"/>
          <w:sz w:val="17"/>
        </w:rPr>
        <w:t xml:space="preserve">Zitiervorschlag: Art 24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