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 Rom I-VO — Staaten ohne einheitliche Rechtsordnung</w:t>
      </w:r>
    </w:p>
    <w:p>
      <w:r>
        <w:rPr>
          <w:color w:val="555555"/>
          <w:sz w:val="18"/>
        </w:rPr>
        <w:t xml:space="preserve">Rom 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Umfasst ein Staat mehrere Gebietseinheiten, von denen jede eigene Rechtsnormen für vertragliche Schuldverhältnisse hat, so gilt für die Bestimmung des nach dieser Verordnung anzuwendenden Rechts jede Gebietseinheit als Staat.</w:t>
      </w:r>
    </w:p>
    <w:p>
      <w:r>
        <w:t xml:space="preserve">(2) Ein Mitgliedstaat, in dem verschiedene Gebietseinheiten ihre eigenen Rechtsnormen für vertragliche Schuldverhältnisse haben, ist nicht verpflichtet, diese Verordnung auf Kollisionen zwischen den Rechtsordnungen dieser Gebietseinheiten anzuwenden.</w:t>
      </w:r>
    </w:p>
    <w:p>
      <w:r>
        <w:rPr>
          <w:color w:val="555555"/>
          <w:sz w:val="17"/>
        </w:rPr>
        <w:t xml:space="preserve">Zitiervorschlag: Art 22 Rom 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https://recht.nulegal.eu/gesetze/Rom%20I-VO/22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