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19 Rom I-VO — Gewöhnlicher Aufenthalt</w:t>
      </w:r>
    </w:p>
    <w:p>
      <w:r>
        <w:rPr>
          <w:color w:val="555555"/>
          <w:sz w:val="18"/>
        </w:rPr>
        <w:t xml:space="preserve">Rom I-VO</w:t>
      </w:r>
    </w:p>
    <w:p>
      <w:r>
        <w:rPr>
          <w:color w:val="555555"/>
          <w:sz w:val="18"/>
        </w:rPr>
        <w:t xml:space="preserve">Stand: 03.07.2026 (konsolidierte Textfassung, kein amtliches Inkrafttretensdatum)</w:t>
      </w:r>
    </w:p>
    <w:p>
      <w:r>
        <w:t xml:space="preserve">(1) Für die Zwecke dieser Verordnung ist der Ort des gewöhnlichen Aufenthalts von Gesellschaften, Vereinen und juristischen Personen der Ort ihrer Hauptverwaltung.</w:t>
      </w:r>
    </w:p>
    <w:p>
      <w:r>
        <w:t xml:space="preserve">Der gewöhnliche Aufenthalt einer natürlichen Person, die im Rahmen der Ausübung ihrer beruflichen Tätigkeit handelt, ist der Ort ihrer Hauptniederlassung.</w:t>
      </w:r>
    </w:p>
    <w:p>
      <w:r>
        <w:t xml:space="preserve">(2) Wird der Vertrag im Rahmen des Betriebs einer Zweigniederlassung, Agentur oder sonstigen Niederlassung geschlossen oder ist für die Erfüllung gemäß dem Vertrag eine solche Zweigniederlassung, Agentur oder sonstigen Niederlassung verantwortlich, so steht der Ort des gewöhnlichen Aufenthalts dem Ort gleich, an dem sich die Zweigniederlassung, Agentur oder sonstige Niederlassung befindet.</w:t>
      </w:r>
    </w:p>
    <w:p>
      <w:r>
        <w:t xml:space="preserve">(3) Für die Bestimmung des gewöhnlichen Aufenthalts ist der Zeitpunkt des Vertragsschlusses maßgebend.</w:t>
      </w:r>
    </w:p>
    <w:p>
      <w:r>
        <w:rPr>
          <w:color w:val="555555"/>
          <w:sz w:val="17"/>
        </w:rPr>
        <w:t xml:space="preserve">Zitiervorschlag: Art 19 Rom I-VO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https://recht.nulegal.eu/gesetze/Rom%20I-VO/19</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