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17 Rom I-VO — Aufrechnung</w:t>
      </w:r>
    </w:p>
    <w:p>
      <w:r>
        <w:rPr>
          <w:color w:val="555555"/>
          <w:sz w:val="18"/>
        </w:rPr>
        <w:t xml:space="preserve">Rom I-VO</w:t>
      </w:r>
    </w:p>
    <w:p>
      <w:r>
        <w:rPr>
          <w:color w:val="555555"/>
          <w:sz w:val="18"/>
        </w:rPr>
        <w:t xml:space="preserve">Stand: 03.07.2026 (konsolidierte Textfassung, kein amtliches Inkrafttretensdatum)</w:t>
      </w:r>
    </w:p>
    <w:p>
      <w:r>
        <w:t xml:space="preserve">Ist das Recht zur Aufrechnung nicht vertraglich vereinbart, so gilt für die Aufrechnung das Recht, dem die Forderung unterliegt, gegen die aufgerechnet wird.</w:t>
      </w:r>
    </w:p>
    <w:p>
      <w:r>
        <w:rPr>
          <w:color w:val="555555"/>
          <w:sz w:val="17"/>
        </w:rPr>
        <w:t xml:space="preserve">Zitiervorschlag: Art 17 Rom I-VO</w:t>
      </w:r>
    </w:p>
    <w:p>
      <w:r>
        <w:rPr>
          <w:color w:val="555555"/>
          <w:sz w:val="17"/>
        </w:rPr>
        <w:t xml:space="preserve">Quelle: EUR-Lex, abgerufen 03.07.2026</w:t>
      </w:r>
    </w:p>
    <w:p>
      <w:r>
        <w:rPr>
          <w:color w:val="555555"/>
          <w:sz w:val="17"/>
        </w:rPr>
        <w:t xml:space="preserve">Nicht-amtliche konsolidierte Fassung — verbindlich ist der im Amtsblatt der Europäischen Union veröffentlichte Wortlaut (eur-lex.europa.eu: https://eur-lex.europa.eu)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https://recht.nulegal.eu/gesetze/Rom%20I-VO/17</w:t>
      </w:r>
    </w:p>
    <w:p>
      <w:r>
        <w:rPr>
          <w:color w:val="767676"/>
          <w:sz w:val="15"/>
        </w:rPr>
        <w:t xml:space="preserve">nu:legal · recht.nulegal.eu · Nicht-amtliche Lesefassung. Amtliche Fassung: eur-lex.europa.eu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