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 Rom I-VO — Übertragung der Forderung</w:t>
      </w:r>
    </w:p>
    <w:p>
      <w:r>
        <w:rPr>
          <w:color w:val="555555"/>
          <w:sz w:val="18"/>
        </w:rPr>
        <w:t xml:space="preserve">Rom I-VO</w:t>
      </w:r>
    </w:p>
    <w:p>
      <w:r>
        <w:rPr>
          <w:color w:val="555555"/>
          <w:sz w:val="18"/>
        </w:rPr>
        <w:t xml:space="preserve">Stand: 03.07.2026 (konsolidierte Textfassung, kein amtliches Inkrafttretensdatum)</w:t>
      </w:r>
    </w:p>
    <w:p>
      <w:r>
        <w:t xml:space="preserve">(1) Das Verhältnis zwischen Zedent und Zessionar aus der Übertragung einer Forderung gegen eine andere Person („Schuldner“) unterliegt dem Recht, das nach dieser Verordnung auf den Vertrag zwischen Zedent und Zessionar anzuwenden ist.</w:t>
      </w:r>
    </w:p>
    <w:p>
      <w:r>
        <w:t xml:space="preserve">(2) Das Recht, dem die übertragene Forderung unterliegt, bestimmt ihre Übertragbarkeit, das Verhältnis zwischen Zessionar und Schuldner, die Voraussetzungen, unter denen die Übertragung dem Schuldner entgegengehalten werden kann, und die befreiende Wirkung einer Leistung durch den Schuldner.</w:t>
      </w:r>
    </w:p>
    <w:p>
      <w:r>
        <w:t xml:space="preserve">(3) Der Begriff „Übertragung“ in diesem Artikel umfasst die vollkommene Übertragung von Forderungen, die Übertragung von Forderungen zu Sicherungszwecken sowie von Pfandrechten oder anderen Sicherungsrechten an Forderungen.</w:t>
      </w:r>
    </w:p>
    <w:p>
      <w:r>
        <w:rPr>
          <w:color w:val="555555"/>
          <w:sz w:val="17"/>
        </w:rPr>
        <w:t xml:space="preserve">Zitiervorschlag: Art 14 Rom I-VO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https://recht.nulegal.eu/gesetze/Rom%20I-VO/14</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