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 Rom I-VO — Form</w:t>
      </w:r>
    </w:p>
    <w:p>
      <w:r>
        <w:rPr>
          <w:color w:val="555555"/>
          <w:sz w:val="18"/>
        </w:rPr>
        <w:t xml:space="preserve">Rom I-VO</w:t>
      </w:r>
    </w:p>
    <w:p>
      <w:r>
        <w:rPr>
          <w:color w:val="555555"/>
          <w:sz w:val="18"/>
        </w:rPr>
        <w:t xml:space="preserve">Stand: 03.07.2026 (konsolidierte Textfassung, kein amtliches Inkrafttretensdatum)</w:t>
      </w:r>
    </w:p>
    <w:p>
      <w:r>
        <w:t xml:space="preserve">(1) Ein Vertrag, der zwischen Personen geschlossen wird, die oder deren Vertreter sich zum Zeitpunkt des Vertragsschlusses in demselben Staat befinden, ist formgültig, wenn er die Formerfordernisse des auf ihn nach dieser Verordnung anzuwendenden materiellen Rechts oder die Formerfordernisse des Rechts des Staates, in dem er geschlossen wird, erfüllt.</w:t>
      </w:r>
    </w:p>
    <w:p>
      <w:r>
        <w:t xml:space="preserve">(2) Ein Vertrag, der zwischen Personen geschlossen wird, die oder deren Vertreter sich zum Zeitpunkt des Vertragsschlusses in verschiedenen Staaten befinden, ist formgültig, wenn er die Formerfordernisse des auf ihn nach dieser Verordnung anzuwendenden materiellen Rechts oder die Formerfordernisse des Rechts eines der Staaten, in denen sich eine der Vertragsparteien oder ihr Vertreter zum Zeitpunkt des Vertragsschlusses befindet, oder die Formerfordernisse des Rechts des Staates, in dem eine der Vertragsparteien zu diesem Zeitpunkt ihren gewöhnlichen Aufenthalt hatte, erfüllt.</w:t>
      </w:r>
    </w:p>
    <w:p>
      <w:r>
        <w:t xml:space="preserve">(3) Ein einseitiges Rechtsgeschäft, das sich auf einen geschlossenen oder zu schließenden Vertrag bezieht, ist formgültig, wenn es die Formerfordernisse des materiellen Rechts, das nach dieser Verordnung auf den Vertrag anzuwenden ist oder anzuwenden wäre, oder die Formerfordernisse des Rechts des Staates erfüllt, in dem dieses Rechtsgeschäft vorgenommen worden ist oder in dem die Person, die das Rechtsgeschäft vorgenommen hat, zu diesem Zeitpunkt ihren gewöhnlichen Aufenthalt hatte.</w:t>
      </w:r>
    </w:p>
    <w:p>
      <w:r>
        <w:t xml:space="preserve">(4) Die Absätze 1, 2 und 3 des vorliegenden Artikels gelten nicht für Verträge, die in den Anwendungsbereich von Artikel 6 fallen. Für die Form dieser Verträge ist das Recht des Staates maßgebend, in dem der Verbraucher seinen gewöhnlichen Aufenthalt hat.</w:t>
      </w:r>
    </w:p>
    <w:p>
      <w:r>
        <w:t xml:space="preserve">(5) Abweichend von den Absätzen 1 bis 4 unterliegen Verträge, die ein dingliches Recht an einer unbeweglichen Sache oder die Miete oder Pacht einer unbeweglichen Sache zum Gegenstand haben, den Formvorschriften des Staates, in dem die unbewegliche Sache belegen ist, sofern diese Vorschriften nach dem Recht dieses Staates</w:t>
      </w:r>
    </w:p>
    <w:p>
      <w:r>
        <w:t xml:space="preserve">a) unabhängig davon gelten, in welchem Staat der Vertrag geschlossen wird oder welchem Recht dieser Vertrag unterliegt, und</w:t>
      </w:r>
    </w:p>
    <w:p>
      <w:r>
        <w:t xml:space="preserve">b) von ihnen nicht durch Vereinbarung abgewichen werden darf.</w:t>
      </w:r>
    </w:p>
    <w:p>
      <w:r>
        <w:rPr>
          <w:color w:val="555555"/>
          <w:sz w:val="17"/>
        </w:rPr>
        <w:t xml:space="preserve">Zitiervorschlag: Art 11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