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 Rom I-VO — Einigung und materielle Wirksamkeit</w:t>
      </w:r>
    </w:p>
    <w:p>
      <w:r>
        <w:rPr>
          <w:color w:val="555555"/>
          <w:sz w:val="18"/>
        </w:rPr>
        <w:t xml:space="preserve">Rom 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Das Zustandekommen und die Wirksamkeit des Vertrags oder einer seiner Bestimmungen beurteilen sich nach dem Recht, das nach dieser Verordnung anzuwenden wäre, wenn der Vertrag oder die Bestimmung wirksam wäre.</w:t>
      </w:r>
    </w:p>
    <w:p>
      <w:r>
        <w:t xml:space="preserve">(2) Ergibt sich jedoch aus den Umständen, dass es nicht gerechtfertigt wäre, die Wirkung des Verhaltens einer Partei nach dem in Absatz 1 bezeichneten Recht zu bestimmen, so kann sich diese Partei für die Behauptung, sie habe dem Vertrag nicht zugestimmt, auf das Recht des Staates ihres gewöhnlichen Aufenthalts berufen.</w:t>
      </w:r>
    </w:p>
    <w:p>
      <w:r>
        <w:rPr>
          <w:color w:val="555555"/>
          <w:sz w:val="17"/>
        </w:rPr>
        <w:t xml:space="preserve">Zitiervorschlag: Art 10 Rom 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https://recht.nulegal.eu/gesetze/Rom%20I-VO/10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