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 Rom I-VO — Anwendungsbereich</w:t>
      </w:r>
    </w:p>
    <w:p>
      <w:r>
        <w:rPr>
          <w:color w:val="555555"/>
          <w:sz w:val="18"/>
        </w:rPr>
        <w:t xml:space="preserve">Rom I-VO</w:t>
      </w:r>
    </w:p>
    <w:p>
      <w:r>
        <w:rPr>
          <w:color w:val="555555"/>
          <w:sz w:val="18"/>
        </w:rPr>
        <w:t xml:space="preserve">Stand: 03.07.2026 (konsolidierte Textfassung, kein amtliches Inkrafttretensdatum)</w:t>
      </w:r>
    </w:p>
    <w:p>
      <w:r>
        <w:t xml:space="preserve">(1) Diese Verordnung gilt für vertragliche Schuldverhältnisse in Zivil- und Handelssachen, die eine Verbindung zum Recht verschiedener Staaten aufweisen.</w:t>
      </w:r>
    </w:p>
    <w:p>
      <w:r>
        <w:t xml:space="preserve">Sie gilt insbesondere nicht für Steuer- und Zollsachen sowie verwaltungsrechtliche Angelegenheiten.</w:t>
      </w:r>
    </w:p>
    <w:p>
      <w:r>
        <w:t xml:space="preserve">(2) Vom Anwendungsbereich dieser Verordnung ausgenommen sind:</w:t>
      </w:r>
    </w:p>
    <w:p>
      <w:r>
        <w:t xml:space="preserve">a) der Personenstand sowie die Rechts-, Geschäfts- und Handlungsfähigkeit von natürlichen Personen, unbeschadet des Artikels 13;</w:t>
      </w:r>
    </w:p>
    <w:p>
      <w:r>
        <w:t xml:space="preserve">b) Schuldverhältnisse aus einem Familienverhältnis oder aus Verhältnissen, die nach dem auf diese Verhältnisse anzuwendenden Recht vergleichbare Wirkungen entfalten, einschließlich der Unterhaltspflichten;</w:t>
      </w:r>
    </w:p>
    <w:p>
      <w:r>
        <w:t xml:space="preserve">c) Schuldverhältnisse aus ehelichen Güterständen, aus Güterständen aufgrund von Verhältnissen, die nach dem auf diese Verhältnisse anzuwendenden Recht mit der Ehe vergleichbare Wirkungen entfalten, und aus Testamenten und Erbrecht;</w:t>
      </w:r>
    </w:p>
    <w:p>
      <w:r>
        <w:t xml:space="preserve">d) Verpflichtungen aus Wechseln, Schecks, Eigenwechseln und anderen handelbaren Wertpapieren, soweit die Verpflichtungen aus diesen anderen Wertpapieren aus deren Handelbarkeit entstehen;</w:t>
      </w:r>
    </w:p>
    <w:p>
      <w:r>
        <w:t xml:space="preserve">e) Schieds- und Gerichtsstandsvereinbarungen;</w:t>
      </w:r>
    </w:p>
    <w:p>
      <w:r>
        <w:t xml:space="preserve">f) Fragen betreffend das Gesellschaftsrecht, das Vereinsrecht und das Recht der juristischen Personen, wie die Errichtung durch Eintragung oder auf andere Weise, die Rechts- und Handlungsfähigkeit, die innere Verfassung und die Auflösung von Gesellschaften, Vereinen und juristischen Personen sowie die persönliche Haftung der Gesellschafter und der Organe für die Verbindlichkeiten einer Gesellschaft, eines Vereins oder einer juristischen Person;</w:t>
      </w:r>
    </w:p>
    <w:p>
      <w:r>
        <w:t xml:space="preserve">g) die Frage, ob ein Vertreter die Person, für deren Rechnung er zu handeln vorgibt, Dritten gegenüber verpflichten kann, oder ob ein Organ einer Gesellschaft, eines Vereins oder einer anderen juristischen Person diese Gesellschaft, diesen Verein oder diese juristische Person gegenüber Dritten verpflichten kann;</w:t>
      </w:r>
    </w:p>
    <w:p>
      <w:r>
        <w:t xml:space="preserve">h) die Gründung von „Trusts“ sowie die dadurch geschaffenen Rechtsbeziehungen zwischen den Verfügenden, den Treuhändern und den Begünstigten;</w:t>
      </w:r>
    </w:p>
    <w:p>
      <w:r>
        <w:t xml:space="preserve">i) Schuldverhältnisse aus Verhandlungen vor Abschluss eines Vertrags;</w:t>
      </w:r>
    </w:p>
    <w:p>
      <w:r>
        <w:t xml:space="preserve">j) Versicherungsverträge aus von anderen Einrichtungen als den in Artikel 2 der Richtlinie 2002/83/EG des Europäischen Parlaments und des Rates vom 5. November 2002 über Lebensversicherungen ( 14 ) genannten Unternehmen durchgeführten Geschäften, deren Zweck darin besteht, den unselbstständig oder selbstständig tätigen Arbeitskräften eines Unternehmens oder einer Unternehmensgruppe oder den Angehörigen eines Berufes oder einer Berufsgruppe im Todes- oder Erlebensfall oder bei Arbeitseinstellung oder bei Minderung der Erwerbstätigkeit oder bei arbeitsbedingter Krankheit oder Arbeitsunfällen Leistungen zu gewähren.</w:t>
      </w:r>
    </w:p>
    <w:p>
      <w:r>
        <w:t xml:space="preserve">(3) Diese Verordnung gilt unbeschadet des Artikels 18 nicht für den Beweis und das Verfahren.</w:t>
      </w:r>
    </w:p>
    <w:p>
      <w:r>
        <w:t xml:space="preserve">(4) Im Sinne dieser Verordnung bezeichnet der Begriff „Mitgliedstaat“ die Mitgliedstaaten, auf die diese Verordnung anwendbar ist. In Artikel 3 Absatz 4 und Artikel 7 bezeichnet der Begriff jedoch alle Mitgliedstaaten.</w:t>
      </w:r>
    </w:p>
    <w:p>
      <w:r>
        <w:rPr>
          <w:color w:val="555555"/>
          <w:sz w:val="17"/>
        </w:rPr>
        <w:t xml:space="preserve">Zitiervorschlag: Art 1 Rom I-VO</w:t>
      </w:r>
    </w:p>
    <w:p>
      <w:r>
        <w:rPr>
          <w:color w:val="555555"/>
          <w:sz w:val="17"/>
        </w:rPr>
        <w:t xml:space="preserve">Quelle: EUR-Lex, abgerufen 03.07.2026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https://recht.nulegal.eu/gesetze/Rom%20I-VO/1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