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RollSonnMstrV</w:t>
      </w:r>
    </w:p>
    <w:p>
      <w:r>
        <w:rPr>
          <w:color w:val="555555"/>
          <w:sz w:val="18"/>
        </w:rPr>
        <w:t xml:space="preserve">Rollladen- und Sonnenschutztechniker-Meisterverordnung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51a Abs. 2 in Verbindung mit Abs. 1 der Handwerksordnung in der Fassung der Bekanntmachung vom 24. September 1998 (BGBl. I S. 3074, 2006 I S. 2095), der zuletzt durch Artikel 146 der Verordnung vom 31. Oktober 2006 (BGBl. I S. 2407)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RollSonnMstrV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https://recht.nulegal.eu/gesetze/RollSonnMstrV/eingangsformel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