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RohrMeistPrV — Befreiung von einzelnen Prüfungsbestandteilen</w:t>
      </w:r>
    </w:p>
    <w:p>
      <w:r>
        <w:rPr>
          <w:color w:val="555555"/>
          <w:sz w:val="18"/>
        </w:rPr>
        <w:t xml:space="preserve">Verordnung über die Prüfung zum anerkannten Abschluss Geprüfter Meister/Geprüfte Meisterin für Rohr-, Kanal- und Industrieservice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Wird die zu prüfende Person nach § 56 Absatz 2 des Berufsbildungsgesetzes von der Ablegung einzelner Prüfungsbestandteile befreit, bleiben diese Prüfungsbestandteile für die Anwendung der §§ 7 und 8 außer Betracht. Für die übrigen Prüfungsbestandteile erhöhen sich die Anteile nach § 7 Absatz 2 Satz 2 oder Absatz 3 Satz 2 oder § 8 Absatz 4 Satz 2 entsprechend ihrem Verhältnis zueinander. Allein diese Prüfungsbestandteile sind den Entscheidungen des Prüfungsausschusses zugrunde zu legen.</w:t>
      </w:r>
    </w:p>
    <w:p>
      <w:r>
        <w:rPr>
          <w:color w:val="555555"/>
          <w:sz w:val="17"/>
        </w:rPr>
        <w:t xml:space="preserve">Zitiervorschlag: § 6 RohrMeistPrV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https://recht.nulegal.eu/gesetze/RohrMeistPrV/6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