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RohrMeistPrV — Zulassungsvoraussetzungen</w:t>
      </w:r>
    </w:p>
    <w:p>
      <w:r>
        <w:rPr>
          <w:color w:val="555555"/>
          <w:sz w:val="18"/>
        </w:rPr>
        <w:t xml:space="preserve">Verordnung über die Prüfung zum anerkannten Abschluss Geprüfter Meister/Geprüfte Meisterin für Rohr-, Kanal- und Industrieservice</w:t>
      </w:r>
    </w:p>
    <w:p>
      <w:r>
        <w:rPr>
          <w:color w:val="555555"/>
          <w:sz w:val="18"/>
        </w:rPr>
        <w:t xml:space="preserve">Stand: 10.06.2019 (konsolidierte Textfassung, kein amtliches Inkrafttretensdatum)</w:t>
      </w:r>
    </w:p>
    <w:p>
      <w:r>
        <w:t xml:space="preserve">(1) Zur Prüfung im Prüfungsteil "Grundlegende Qualifikationen" ist zuzulassen, wer Folgendes nachweist:</w:t>
      </w:r>
    </w:p>
    <w:p>
      <w:pPr>
        <w:ind w:left="420"/>
      </w:pPr>
      <w:r>
        <w:t xml:space="preserve">1. eine mit Erfolg abgelegte Abschlussprüfung zur Fachkraft für Rohr-, Kanal- und Industrieservice, zur Fachkraft für Abwassertechnik, zur Fachkraft für Wasserversorgungstechnik, zur Fachkraft für Kreislauf- und Abfallwirtschaft, zum Ver- und Entsorger/zur Ver- und Entsorgerin und danach eine mindestens einjährige Berufspraxis oder</w:t>
      </w:r>
    </w:p>
    <w:p>
      <w:pPr>
        <w:ind w:left="420"/>
      </w:pPr>
      <w:r>
        <w:t xml:space="preserve">2. eine mit Erfolg abgelegte Abschlussprüfung in einem sonstigen anerkannten Ausbildungsberuf und danach eine mindestens zweijährige Berufspraxis oder</w:t>
      </w:r>
    </w:p>
    <w:p>
      <w:pPr>
        <w:ind w:left="420"/>
      </w:pPr>
      <w:r>
        <w:t xml:space="preserve">3. eine mindestens fünfjährige Berufspraxis.</w:t>
      </w:r>
    </w:p>
    <w:p>
      <w:r>
        <w:t xml:space="preserve">(2) Zur Prüfung im Prüfungsteil "Handlungsspezifische Qualifikationen" ist zuzulassen, wer Folgendes nachweist:</w:t>
      </w:r>
    </w:p>
    <w:p>
      <w:pPr>
        <w:ind w:left="420"/>
      </w:pPr>
      <w:r>
        <w:t xml:space="preserve">1. das Ablegen des Prüfungsteils "Grundlegende Qualifikationen", das nicht länger als fünf Jahre zurückliegt, und</w:t>
      </w:r>
    </w:p>
    <w:p>
      <w:pPr>
        <w:ind w:left="420"/>
      </w:pPr>
      <w:r>
        <w:t xml:space="preserve">2. zu den in Absatz 1 Nr. 1 bis 3 beinhalteten Praxiszeiten mindestens ein weiteres Jahr Berufspraxis.</w:t>
      </w:r>
    </w:p>
    <w:p>
      <w:r>
        <w:t xml:space="preserve">(3) Die Berufspraxis gemäß den Absätzen 1 und 2 soll wesentliche Bezüge zu den Aufgaben eines Geprüften Meisters/einer Geprüften Meisterin für Rohr-, Kanal- und Industrieservice gemäß § 1 Abs. 3 haben.</w:t>
      </w:r>
    </w:p>
    <w:p>
      <w:r>
        <w:t xml:space="preserve">(4) Abweichend von den in den Absätzen 1 und 2 Nr. 2 genannten Voraussetzungen kann zur Prüfung in den Prüfungsteilen auch zugelassen werden, wer durch Vorlage von Zeugnissen oder auf andere Weise glaubhaft macht, Kenntnisse, Fertigkeiten und Erfahrungen erworben zu haben, die die Zulassung zur Prüfung rechtfertigen.</w:t>
      </w:r>
    </w:p>
    <w:p>
      <w:r>
        <w:rPr>
          <w:color w:val="555555"/>
          <w:sz w:val="17"/>
        </w:rPr>
        <w:t xml:space="preserve">Zitiervorschlag: § 3 RohrMeistPrV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https://recht.nulegal.eu/gesetze/RohrMeistPrV/3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