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RohrIndUTechAusbV — Bestehende Berufsausbildungsverhältnisse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Berufsausbildungsverhältnisse, die am 1. August 2024 bestehen, können nach den Vorschriften dieser Verordnung unter Anrechnung der bisher absolvierten Ausbildungszeit fortgesetzt werden, wenn</w:t>
      </w:r>
    </w:p>
    <w:p>
      <w:pPr>
        <w:ind w:left="420"/>
      </w:pPr>
      <w:r>
        <w:t xml:space="preserve">1. die Vertragsparteien dies vereinbaren und</w:t>
      </w:r>
    </w:p>
    <w:p>
      <w:pPr>
        <w:ind w:left="420"/>
      </w:pPr>
      <w:r>
        <w:t xml:space="preserve">2. der oder die Auszubildende noch keine Zwischenprüfung absolviert hat.</w:t>
      </w:r>
    </w:p>
    <w:p>
      <w:r>
        <w:rPr>
          <w:color w:val="555555"/>
          <w:sz w:val="17"/>
        </w:rPr>
        <w:t xml:space="preserve">Zitiervorschlag: § 18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