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RohrIndUTechAusbV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Rohrleitungsnetz- und Industrieanlagenumwelttechnologen-Ausbildungsverordnung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„Mechanisches Anpassen eines umwelttechnischen Systems“    mit 20 Prozent,</w:t>
      </w:r>
    </w:p>
    <w:p>
      <w:r>
        <w:rPr>
          <w:rFonts w:ascii="Courier New" w:hAnsi="Courier New"/>
          <w:sz w:val="17"/>
        </w:rPr>
        <w:t xml:space="preserve">„Arbeiten an Rohrleitungen oder Anlagen“    mit 40 Prozent,</w:t>
      </w:r>
    </w:p>
    <w:p>
      <w:r>
        <w:rPr>
          <w:rFonts w:ascii="Courier New" w:hAnsi="Courier New"/>
          <w:sz w:val="17"/>
        </w:rPr>
        <w:t xml:space="preserve">„Einsetzen von Verfahrenstechnik“    mit 15 Prozent,</w:t>
      </w:r>
    </w:p>
    <w:p>
      <w:r>
        <w:rPr>
          <w:rFonts w:ascii="Courier New" w:hAnsi="Courier New"/>
          <w:sz w:val="17"/>
        </w:rPr>
        <w:t xml:space="preserve">„Beachten und Umsetzen von Arbeitssicherheit und Gesundheitsschutz“    mit 15 Prozent</w:t>
      </w:r>
    </w:p>
    <w:p>
      <w:pPr>
        <w:ind w:left="420"/>
      </w:pPr>
      <w:r>
        <w:t xml:space="preserve">4.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5. (2) Die Abschlussprüfung ist bestanden, wenn die Prüfungsleistungen – auch unter Berücksichtigung einer mündlichen Ergänzungsprüfung nach § 16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„Beachten und Umsetzen von Arbeitssicherheit und Gesundheitsschutz“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Über das Bestehen ist ein Beschluss nach § 42 Absatz 1 Nummer 3 des Berufsbildungsgesetzes zu fassen.</w:t>
      </w:r>
    </w:p>
    <w:p>
      <w:r>
        <w:rPr>
          <w:color w:val="555555"/>
          <w:sz w:val="17"/>
        </w:rPr>
        <w:t xml:space="preserve">Zitiervorschlag: § 15 RohrIndUTechAusbV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https://recht.nulegal.eu/gesetze/RohrIndUTechAusbV/15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