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RohrIndUTechAusbV — Prüfungsbereich „Beachten und Umsetzen von Arbeitssicherheit und Gesundheitsschutz“</w:t>
      </w:r>
    </w:p>
    <w:p>
      <w:r>
        <w:rPr>
          <w:color w:val="555555"/>
          <w:sz w:val="18"/>
        </w:rPr>
        <w:t xml:space="preserve">Rohrleitungsnetz- und Industrieanlagenumwelttechnologen-Ausbildungsverordnung</w:t>
      </w:r>
    </w:p>
    <w:p>
      <w:r>
        <w:rPr>
          <w:color w:val="555555"/>
          <w:sz w:val="18"/>
        </w:rPr>
        <w:t xml:space="preserve">Stand: 01.08.2024 (konsolidierte Textfassung, kein amtliches Inkrafttretensdatum)</w:t>
      </w:r>
    </w:p>
    <w:p>
      <w:r>
        <w:t xml:space="preserve">(1) Im Prüfungsbereich „Beachten und Umsetzen von Arbeitssicherheit und Gesundheitsschutz“ hat der Prüfling nachzuweisen, dass er in der Lage ist,</w:t>
      </w:r>
    </w:p>
    <w:p>
      <w:pPr>
        <w:ind w:left="420"/>
      </w:pPr>
      <w:r>
        <w:t xml:space="preserve">1. durch das Arbeitsumfeld gegebene Gefahrenpotentiale zu erkennen sowie technische, organisatorische und persönliche Maßnahmen zur Vermeidung von Gefahren aufzuzeigen,</w:t>
      </w:r>
    </w:p>
    <w:p>
      <w:pPr>
        <w:ind w:left="420"/>
      </w:pPr>
      <w:r>
        <w:t xml:space="preserve">2. aufgabenbezogene persönliche Schutzausrüstung auszuwählen und deren Einsatzmöglichkeiten zu beschreiben,</w:t>
      </w:r>
    </w:p>
    <w:p>
      <w:pPr>
        <w:ind w:left="420"/>
      </w:pPr>
      <w:r>
        <w:t xml:space="preserve">3. Gefahrstoffe Klassifizierungen zuzuordnen und die Zuordnung zu begründen,</w:t>
      </w:r>
    </w:p>
    <w:p>
      <w:pPr>
        <w:ind w:left="420"/>
      </w:pPr>
      <w:r>
        <w:t xml:space="preserve">4. Gefahren durch Stoffe und Stoffgemische, insbesondere durch Gase und Stäube, zu beschreiben und Maßnahmen aufzuzeigen,</w:t>
      </w:r>
    </w:p>
    <w:p>
      <w:pPr>
        <w:ind w:left="420"/>
      </w:pPr>
      <w:r>
        <w:t xml:space="preserve">5. Risiken durch Krankheitserreger in Rohrleitungsnetzen und Anlagen zu unterscheiden und Möglichkeiten für Präventions- und Gegenmaßnahmen zu beschreiben und zu bewerten sowie</w:t>
      </w:r>
    </w:p>
    <w:p>
      <w:pPr>
        <w:ind w:left="420"/>
      </w:pPr>
      <w:r>
        <w:t xml:space="preserve">6. Grundsätze sowie technische und rechtliche Vorgaben der Hygiene beim Arbeiten an Rohrleitungsnetzen und Anlagen darzustellen.</w:t>
      </w:r>
    </w:p>
    <w:p>
      <w:r>
        <w:t xml:space="preserve">(2) Die Aufgaben müssen praxisbezogen sein. Der Prüfling hat die Aufgaben schriftlich zu bearbeiten.</w:t>
      </w:r>
    </w:p>
    <w:p>
      <w:r>
        <w:t xml:space="preserve">(3) Die Prüfungszeit beträgt 90 Minuten.</w:t>
      </w:r>
    </w:p>
    <w:p>
      <w:r>
        <w:rPr>
          <w:color w:val="555555"/>
          <w:sz w:val="17"/>
        </w:rPr>
        <w:t xml:space="preserve">Zitiervorschlag: § 13 RohrIndUTechAusbV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https://recht.nulegal.eu/gesetze/RohrIndUTechAusbV/13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