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RohTabBeih2006V</w:t>
      </w:r>
    </w:p>
    <w:p>
      <w:r>
        <w:rPr>
          <w:color w:val="555555"/>
          <w:sz w:val="18"/>
        </w:rPr>
        <w:t xml:space="preserve">Verordnung zur Festsetzung des endgültigen Beihilfebetrags für Rohtabak für das Erntejahr 2006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1 Nr. 1 Buchstabe g und § 6 Abs. 1 Nr. 2 des Gesetzes zur Durchführung der Gemeinsamen Marktorganisationen und der Direktzahlungen in der Fassung der Bekanntmachung vom 24. Juni 2005 (BGBl. I S. 1847) in Verbindung mit § 1 Abs. 2 des Zuständigkeitsanpassungsgesetzes vom 16. August 2002 (BGBl. I S. 3165) und dem Organisationserlass vom 22. November 2005 (BGBl. I S. 3197) verordnet das Bundesministerium für Ernährung, Landwirtschaft und Verbraucherschutz im Einvernehmen mit den Bundesministerien der Finanzen und für Wirtschaft und Technologie:</w:t>
      </w:r>
    </w:p>
    <w:p>
      <w:r>
        <w:rPr>
          <w:color w:val="555555"/>
          <w:sz w:val="17"/>
        </w:rPr>
        <w:t xml:space="preserve">Zitiervorschlag: Eingangsformel RohTabBeih2006V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https://recht.nulegal.eu/gesetze/RohTabBeih2006V/eingangsformel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