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RobErhÜbkG</w:t>
      </w:r>
    </w:p>
    <w:p>
      <w:r>
        <w:rPr>
          <w:color w:val="555555"/>
          <w:sz w:val="18"/>
        </w:rPr>
        <w:t xml:space="preserve">Gesetz zu dem Übereinkommen vom 1. Juni 1972 zur Erhaltung der antarktischen Robben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den Meeren südlich des sechzigsten Grades südlicher Breite sind Tötung und Fang von Robben im Sinne von Artikel 1 Abs. 2 des Übereinkommens verboten.</w:t>
      </w:r>
    </w:p>
    <w:p>
      <w:r>
        <w:t xml:space="preserve">(2) Das Bundesamt für Naturschutz (Bundesamt) kann Erlaubnisse zur Tötung und zum Fang erteilen, soweit dies nach Artikel 3 des Übereinkommens zulässig ist. Sondererlaubnisse nach Artikel 4 des Übereinkommens sind bei Vorliegen der dort genannten Voraussetzungen zu erteilen.</w:t>
      </w:r>
    </w:p>
    <w:p>
      <w:r>
        <w:rPr>
          <w:color w:val="555555"/>
          <w:sz w:val="17"/>
        </w:rPr>
        <w:t xml:space="preserve">Zitiervorschlag: Art 3 RobErhÜbkG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https://recht.nulegal.eu/gesetze/RobErh%C3%9CbkG/3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