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RobErhÜbkG</w:t>
      </w:r>
    </w:p>
    <w:p>
      <w:r>
        <w:rPr>
          <w:color w:val="555555"/>
          <w:sz w:val="18"/>
        </w:rPr>
        <w:t xml:space="preserve">Gesetz zu dem Übereinkommen vom 1. Juni 1972 zur Erhaltung der antarktischen Robben</w:t>
      </w:r>
    </w:p>
    <w:p>
      <w:r>
        <w:rPr>
          <w:color w:val="555555"/>
          <w:sz w:val="18"/>
        </w:rPr>
        <w:t xml:space="preserve">Stand: 12.08.2020 (konsolidierte Textfassung, kein amtliches Inkrafttretensdatum)</w:t>
      </w:r>
    </w:p>
    <w:p>
      <w:r>
        <w:t xml:space="preserve">Das Bundesministerium für Umwelt, Naturschutz und nukleare Sicherheit wird ermächtigt, durch Rechtsverordnung im Einvernehmen mit dem Bundesministerium für Bildung und Forschung</w:t>
      </w:r>
    </w:p>
    <w:p>
      <w:pPr>
        <w:ind w:left="420"/>
      </w:pPr>
      <w:r>
        <w:t xml:space="preserve">1. Änderungen der Anlage des Übereinkommens nach dessen Artikel 9, die sich im Rahmen der Ziele des Übereinkommens halten, in Kraft zu setzen,</w:t>
      </w:r>
    </w:p>
    <w:p>
      <w:pPr>
        <w:ind w:left="420"/>
      </w:pPr>
      <w:r>
        <w:t xml:space="preserve">2. ein gemäß Artikel 6 Abs. 1 Buchstabe a des Übereinkommens angenommenes Überwachungssystem in Kraft zu setzen, das insbesondere vorsieht, Überwachungsmaßnahmen zur Einhaltung der in Artikel 3 Abs. 1 des Übereinkommens genannten Beschlüsse zu dulden und zu unterstützen, Weisungen eines Kontrollbeamten zu befolgen, Auskünfte über Fänge und Fangtätigkeit zu erteilen und Aufzeichnungen über die Fangtätigkeit vorzulegen. Die Überwachungsbefugnisse umfassen das Recht, die im Geltungsbereich des Übereinkommens gemäß dessen Artikel 1 Abs. 1 eingesetzten Schiffe der Vertragsparteien zu betreten. Das Grundrecht der Unverletzlichkeit der Wohnung (Artikel 13 Abs. 1 des Grundgesetzes) kann zum Zwecke der Überwachung eingeschränkt werden.</w:t>
      </w:r>
    </w:p>
    <w:p>
      <w:r>
        <w:rPr>
          <w:color w:val="555555"/>
          <w:sz w:val="17"/>
        </w:rPr>
        <w:t xml:space="preserve">Zitiervorschlag: Art 2 RobErhÜbkG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https://recht.nulegal.eu/gesetze/RobErh%C3%9CbkG/2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