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RkZÜVMdJEV (Brandenburg) — Übergangsvorschrift</w:t>
      </w:r>
    </w:p>
    <w:p>
      <w:r>
        <w:rPr>
          <w:color w:val="555555"/>
          <w:sz w:val="18"/>
        </w:rPr>
        <w:t xml:space="preserve">Reisekostenzuständigkeitsübertragungsverordnung MdJEV</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auf Berechnung und Zahlung von Reise- und Umzugskosten sowie auf Bewilligung, Berechnung und Zahlung von Trennungsgeld, die vor dem Inkrafttreten dieser Verordnung eingegangen sind und über die noch nicht abschließend entschieden worden ist, verbleibt es bei der Zuständigkeit der bisher zuständigen Stellen. Unfallfürsorgeangelegenheiten sowie Anträge auf Ersatz von Sachschäden einschließlich übergegangener Schadensersatzansprüche gegen Dritte werden von der Zentralen Bezügestelle in dem Stand übernommen, in dem sie sich zum Zeitpunkt des Inkrafttretens dieser Verordnung befinden. Dies gilt auch für die Vertretung in zu diesem Zeitpunkt bereits anhängigen Rechtsstreitigkeiten.</w:t>
      </w:r>
    </w:p>
    <w:p>
      <w:r>
        <w:t xml:space="preserve">Einzelnorm</w:t>
      </w:r>
    </w:p>
    <w:p>
      <w:r>
        <w:rPr>
          <w:color w:val="555555"/>
          <w:sz w:val="17"/>
        </w:rPr>
        <w:t xml:space="preserve">Zitiervorschlag: § 3 RkZÜVMdJEV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https://recht.nulegal.eu/gesetze/RkZ%C3%9CVMdJEV/3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